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B06" w:rsidRDefault="00E75068">
      <w:r>
        <w:rPr>
          <w:noProof/>
        </w:rPr>
        <w:drawing>
          <wp:anchor distT="0" distB="0" distL="0" distR="0" simplePos="0" relativeHeight="3" behindDoc="0" locked="0" layoutInCell="1" allowOverlap="1">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7"/>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ook w:val="04A0" w:firstRow="1" w:lastRow="0" w:firstColumn="1" w:lastColumn="0" w:noHBand="0" w:noVBand="1"/>
      </w:tblPr>
      <w:tblGrid>
        <w:gridCol w:w="2320"/>
        <w:gridCol w:w="340"/>
        <w:gridCol w:w="3253"/>
        <w:gridCol w:w="715"/>
        <w:gridCol w:w="715"/>
        <w:gridCol w:w="299"/>
        <w:gridCol w:w="2108"/>
      </w:tblGrid>
      <w:tr w:rsidR="00E25B06">
        <w:trPr>
          <w:trHeight w:val="302"/>
        </w:trPr>
        <w:tc>
          <w:tcPr>
            <w:tcW w:w="2320" w:type="dxa"/>
            <w:shd w:val="clear" w:color="auto" w:fill="auto"/>
          </w:tcPr>
          <w:p w:rsidR="00E25B06" w:rsidRDefault="00E75068">
            <w:pPr>
              <w:rPr>
                <w:rFonts w:cs="Arial"/>
                <w:szCs w:val="21"/>
              </w:rPr>
            </w:pPr>
            <w:r>
              <w:rPr>
                <w:rFonts w:cs="Arial"/>
                <w:szCs w:val="21"/>
              </w:rPr>
              <w:t>Zaaknummer</w:t>
            </w:r>
          </w:p>
        </w:tc>
        <w:tc>
          <w:tcPr>
            <w:tcW w:w="340" w:type="dxa"/>
            <w:shd w:val="clear" w:color="auto" w:fill="auto"/>
          </w:tcPr>
          <w:p w:rsidR="00E25B06" w:rsidRDefault="00E75068">
            <w:pPr>
              <w:jc w:val="center"/>
              <w:rPr>
                <w:rFonts w:cs="Arial"/>
                <w:szCs w:val="21"/>
              </w:rPr>
            </w:pPr>
            <w:r>
              <w:rPr>
                <w:rFonts w:cs="Arial"/>
                <w:szCs w:val="21"/>
              </w:rPr>
              <w:t>:</w:t>
            </w:r>
          </w:p>
        </w:tc>
        <w:tc>
          <w:tcPr>
            <w:tcW w:w="3253" w:type="dxa"/>
            <w:shd w:val="clear" w:color="auto" w:fill="auto"/>
          </w:tcPr>
          <w:p w:rsidR="00E25B06" w:rsidRDefault="00E75068">
            <w:pPr>
              <w:rPr>
                <w:rFonts w:cs="Arial"/>
                <w:szCs w:val="21"/>
              </w:rPr>
            </w:pPr>
            <w:r>
              <w:rPr>
                <w:rFonts w:cs="Arial"/>
                <w:szCs w:val="21"/>
              </w:rPr>
              <w:t>232723</w:t>
            </w:r>
          </w:p>
        </w:tc>
        <w:tc>
          <w:tcPr>
            <w:tcW w:w="1430" w:type="dxa"/>
            <w:gridSpan w:val="2"/>
            <w:shd w:val="clear" w:color="auto" w:fill="auto"/>
          </w:tcPr>
          <w:p w:rsidR="00E25B06" w:rsidRDefault="00E25B06">
            <w:pPr>
              <w:rPr>
                <w:rFonts w:cs="Arial"/>
                <w:szCs w:val="21"/>
              </w:rPr>
            </w:pPr>
          </w:p>
        </w:tc>
        <w:tc>
          <w:tcPr>
            <w:tcW w:w="299" w:type="dxa"/>
            <w:shd w:val="clear" w:color="auto" w:fill="auto"/>
          </w:tcPr>
          <w:p w:rsidR="00E25B06" w:rsidRDefault="00E25B06">
            <w:pPr>
              <w:rPr>
                <w:rFonts w:cs="Arial"/>
                <w:szCs w:val="21"/>
              </w:rPr>
            </w:pPr>
          </w:p>
        </w:tc>
        <w:tc>
          <w:tcPr>
            <w:tcW w:w="2108" w:type="dxa"/>
            <w:shd w:val="clear" w:color="auto" w:fill="auto"/>
          </w:tcPr>
          <w:p w:rsidR="00E25B06" w:rsidRDefault="00E25B06">
            <w:pPr>
              <w:rPr>
                <w:rFonts w:cs="Arial"/>
                <w:szCs w:val="21"/>
              </w:rPr>
            </w:pPr>
          </w:p>
        </w:tc>
      </w:tr>
      <w:tr w:rsidR="00E25B06">
        <w:trPr>
          <w:trHeight w:val="302"/>
        </w:trPr>
        <w:tc>
          <w:tcPr>
            <w:tcW w:w="2320" w:type="dxa"/>
            <w:shd w:val="clear" w:color="auto" w:fill="auto"/>
          </w:tcPr>
          <w:p w:rsidR="00E25B06" w:rsidRDefault="00E25B06">
            <w:pPr>
              <w:rPr>
                <w:rFonts w:cs="Arial"/>
                <w:b/>
                <w:szCs w:val="21"/>
              </w:rPr>
            </w:pPr>
          </w:p>
        </w:tc>
        <w:tc>
          <w:tcPr>
            <w:tcW w:w="340" w:type="dxa"/>
            <w:shd w:val="clear" w:color="auto" w:fill="auto"/>
          </w:tcPr>
          <w:p w:rsidR="00E25B06" w:rsidRDefault="00E25B06">
            <w:pPr>
              <w:jc w:val="center"/>
              <w:rPr>
                <w:rFonts w:cs="Arial"/>
                <w:szCs w:val="21"/>
              </w:rPr>
            </w:pPr>
          </w:p>
        </w:tc>
        <w:tc>
          <w:tcPr>
            <w:tcW w:w="4683" w:type="dxa"/>
            <w:gridSpan w:val="3"/>
            <w:shd w:val="clear" w:color="auto" w:fill="auto"/>
          </w:tcPr>
          <w:p w:rsidR="00E25B06" w:rsidRDefault="00E25B06">
            <w:pPr>
              <w:rPr>
                <w:szCs w:val="21"/>
              </w:rPr>
            </w:pPr>
          </w:p>
        </w:tc>
        <w:tc>
          <w:tcPr>
            <w:tcW w:w="299" w:type="dxa"/>
            <w:shd w:val="clear" w:color="auto" w:fill="auto"/>
          </w:tcPr>
          <w:p w:rsidR="00E25B06" w:rsidRDefault="00E25B06">
            <w:pPr>
              <w:rPr>
                <w:rFonts w:cs="Arial"/>
                <w:b/>
                <w:szCs w:val="21"/>
              </w:rPr>
            </w:pPr>
          </w:p>
        </w:tc>
        <w:tc>
          <w:tcPr>
            <w:tcW w:w="2108" w:type="dxa"/>
            <w:shd w:val="clear" w:color="auto" w:fill="auto"/>
          </w:tcPr>
          <w:p w:rsidR="00E25B06" w:rsidRDefault="00E25B06">
            <w:pPr>
              <w:rPr>
                <w:rFonts w:cs="Arial"/>
                <w:b/>
                <w:szCs w:val="21"/>
              </w:rPr>
            </w:pPr>
          </w:p>
        </w:tc>
      </w:tr>
      <w:tr w:rsidR="00E25B06">
        <w:trPr>
          <w:trHeight w:val="302"/>
        </w:trPr>
        <w:tc>
          <w:tcPr>
            <w:tcW w:w="2320" w:type="dxa"/>
            <w:shd w:val="clear" w:color="auto" w:fill="auto"/>
          </w:tcPr>
          <w:p w:rsidR="00E25B06" w:rsidRDefault="00E75068">
            <w:pPr>
              <w:rPr>
                <w:rFonts w:cs="Arial"/>
                <w:b/>
                <w:szCs w:val="21"/>
              </w:rPr>
            </w:pPr>
            <w:r>
              <w:rPr>
                <w:rFonts w:cs="Arial"/>
                <w:b/>
                <w:szCs w:val="21"/>
              </w:rPr>
              <w:t>Raadsvergadering</w:t>
            </w:r>
          </w:p>
        </w:tc>
        <w:tc>
          <w:tcPr>
            <w:tcW w:w="340" w:type="dxa"/>
            <w:shd w:val="clear" w:color="auto" w:fill="auto"/>
          </w:tcPr>
          <w:p w:rsidR="00E25B06" w:rsidRDefault="00E75068">
            <w:pPr>
              <w:jc w:val="center"/>
              <w:rPr>
                <w:rFonts w:cs="Arial"/>
                <w:szCs w:val="21"/>
              </w:rPr>
            </w:pPr>
            <w:r>
              <w:rPr>
                <w:rFonts w:cs="Arial"/>
                <w:szCs w:val="21"/>
              </w:rPr>
              <w:t>:</w:t>
            </w:r>
          </w:p>
        </w:tc>
        <w:tc>
          <w:tcPr>
            <w:tcW w:w="4683" w:type="dxa"/>
            <w:gridSpan w:val="3"/>
            <w:shd w:val="clear" w:color="auto" w:fill="auto"/>
          </w:tcPr>
          <w:p w:rsidR="00E25B06" w:rsidRDefault="00E75068">
            <w:r>
              <w:rPr>
                <w:rFonts w:cs="Arial"/>
                <w:b/>
                <w:bCs/>
                <w:color w:val="333333"/>
                <w:szCs w:val="21"/>
              </w:rPr>
              <w:t>02-11-2021</w:t>
            </w:r>
          </w:p>
        </w:tc>
        <w:tc>
          <w:tcPr>
            <w:tcW w:w="299" w:type="dxa"/>
            <w:shd w:val="clear" w:color="auto" w:fill="auto"/>
          </w:tcPr>
          <w:p w:rsidR="00E25B06" w:rsidRDefault="00E25B06">
            <w:pPr>
              <w:rPr>
                <w:rFonts w:cs="Arial"/>
                <w:b/>
                <w:szCs w:val="21"/>
              </w:rPr>
            </w:pPr>
          </w:p>
        </w:tc>
        <w:tc>
          <w:tcPr>
            <w:tcW w:w="2108" w:type="dxa"/>
            <w:shd w:val="clear" w:color="auto" w:fill="auto"/>
          </w:tcPr>
          <w:p w:rsidR="00E25B06" w:rsidRDefault="00E25B06">
            <w:pPr>
              <w:rPr>
                <w:rFonts w:cs="Arial"/>
                <w:b/>
                <w:szCs w:val="21"/>
              </w:rPr>
            </w:pPr>
          </w:p>
        </w:tc>
      </w:tr>
      <w:tr w:rsidR="00E25B06">
        <w:trPr>
          <w:trHeight w:val="208"/>
        </w:trPr>
        <w:tc>
          <w:tcPr>
            <w:tcW w:w="2320" w:type="dxa"/>
            <w:shd w:val="clear" w:color="auto" w:fill="auto"/>
          </w:tcPr>
          <w:p w:rsidR="00E25B06" w:rsidRDefault="00E25B06">
            <w:pPr>
              <w:rPr>
                <w:rFonts w:cs="Arial"/>
                <w:b/>
                <w:szCs w:val="21"/>
              </w:rPr>
            </w:pPr>
          </w:p>
        </w:tc>
        <w:tc>
          <w:tcPr>
            <w:tcW w:w="340" w:type="dxa"/>
            <w:shd w:val="clear" w:color="auto" w:fill="auto"/>
          </w:tcPr>
          <w:p w:rsidR="00E25B06" w:rsidRDefault="00E25B06">
            <w:pPr>
              <w:jc w:val="center"/>
              <w:rPr>
                <w:rFonts w:cs="Arial"/>
                <w:szCs w:val="21"/>
              </w:rPr>
            </w:pPr>
          </w:p>
        </w:tc>
        <w:tc>
          <w:tcPr>
            <w:tcW w:w="3253" w:type="dxa"/>
            <w:shd w:val="clear" w:color="auto" w:fill="auto"/>
          </w:tcPr>
          <w:p w:rsidR="00E25B06" w:rsidRDefault="00E25B06">
            <w:pPr>
              <w:rPr>
                <w:rFonts w:cs="Arial"/>
                <w:szCs w:val="21"/>
              </w:rPr>
            </w:pPr>
          </w:p>
        </w:tc>
        <w:tc>
          <w:tcPr>
            <w:tcW w:w="1430" w:type="dxa"/>
            <w:gridSpan w:val="2"/>
            <w:shd w:val="clear" w:color="auto" w:fill="auto"/>
          </w:tcPr>
          <w:p w:rsidR="00E25B06" w:rsidRDefault="00E25B06">
            <w:pPr>
              <w:rPr>
                <w:rFonts w:cs="Arial"/>
                <w:szCs w:val="21"/>
              </w:rPr>
            </w:pPr>
          </w:p>
        </w:tc>
        <w:tc>
          <w:tcPr>
            <w:tcW w:w="299" w:type="dxa"/>
            <w:shd w:val="clear" w:color="auto" w:fill="auto"/>
          </w:tcPr>
          <w:p w:rsidR="00E25B06" w:rsidRDefault="00E25B06">
            <w:pPr>
              <w:rPr>
                <w:rFonts w:cs="Arial"/>
                <w:szCs w:val="21"/>
              </w:rPr>
            </w:pPr>
          </w:p>
        </w:tc>
        <w:tc>
          <w:tcPr>
            <w:tcW w:w="2108" w:type="dxa"/>
            <w:shd w:val="clear" w:color="auto" w:fill="auto"/>
          </w:tcPr>
          <w:p w:rsidR="00E25B06" w:rsidRDefault="00E25B06">
            <w:pPr>
              <w:rPr>
                <w:rFonts w:cs="Arial"/>
                <w:szCs w:val="21"/>
              </w:rPr>
            </w:pPr>
          </w:p>
        </w:tc>
      </w:tr>
      <w:tr w:rsidR="00E25B06">
        <w:tc>
          <w:tcPr>
            <w:tcW w:w="2320" w:type="dxa"/>
            <w:shd w:val="clear" w:color="auto" w:fill="auto"/>
          </w:tcPr>
          <w:p w:rsidR="00E25B06" w:rsidRDefault="00E75068">
            <w:r>
              <w:rPr>
                <w:rFonts w:cs="Arial"/>
                <w:b/>
                <w:szCs w:val="21"/>
              </w:rPr>
              <w:t>Onderwerp</w:t>
            </w:r>
          </w:p>
        </w:tc>
        <w:tc>
          <w:tcPr>
            <w:tcW w:w="340" w:type="dxa"/>
            <w:shd w:val="clear" w:color="auto" w:fill="auto"/>
          </w:tcPr>
          <w:p w:rsidR="00E25B06" w:rsidRDefault="00E75068">
            <w:pPr>
              <w:jc w:val="center"/>
              <w:rPr>
                <w:rFonts w:cs="Arial"/>
                <w:szCs w:val="21"/>
              </w:rPr>
            </w:pPr>
            <w:r>
              <w:rPr>
                <w:rFonts w:cs="Arial"/>
                <w:szCs w:val="21"/>
              </w:rPr>
              <w:t>:</w:t>
            </w:r>
          </w:p>
        </w:tc>
        <w:tc>
          <w:tcPr>
            <w:tcW w:w="7090" w:type="dxa"/>
            <w:gridSpan w:val="5"/>
            <w:shd w:val="clear" w:color="auto" w:fill="auto"/>
          </w:tcPr>
          <w:p w:rsidR="00E25B06" w:rsidRDefault="00E75068">
            <w:pPr>
              <w:rPr>
                <w:rFonts w:cs="Arial"/>
                <w:b/>
                <w:bCs/>
                <w:color w:val="333333"/>
                <w:szCs w:val="21"/>
              </w:rPr>
            </w:pPr>
            <w:r>
              <w:rPr>
                <w:rFonts w:cs="Arial"/>
                <w:b/>
                <w:bCs/>
                <w:color w:val="333333"/>
                <w:szCs w:val="21"/>
              </w:rPr>
              <w:t>Begroting 2022 gemeente Berkelland en de 1e Begrotingswijziging 2022</w:t>
            </w:r>
          </w:p>
        </w:tc>
      </w:tr>
      <w:tr w:rsidR="00E25B06">
        <w:tc>
          <w:tcPr>
            <w:tcW w:w="2320" w:type="dxa"/>
            <w:shd w:val="clear" w:color="auto" w:fill="auto"/>
          </w:tcPr>
          <w:p w:rsidR="00E25B06" w:rsidRDefault="00E25B06">
            <w:pPr>
              <w:rPr>
                <w:rFonts w:cs="Arial"/>
                <w:szCs w:val="21"/>
              </w:rPr>
            </w:pPr>
          </w:p>
        </w:tc>
        <w:tc>
          <w:tcPr>
            <w:tcW w:w="340" w:type="dxa"/>
            <w:shd w:val="clear" w:color="auto" w:fill="auto"/>
          </w:tcPr>
          <w:p w:rsidR="00E25B06" w:rsidRDefault="00E25B06">
            <w:pPr>
              <w:jc w:val="center"/>
              <w:rPr>
                <w:rFonts w:cs="Arial"/>
                <w:szCs w:val="21"/>
              </w:rPr>
            </w:pPr>
          </w:p>
        </w:tc>
        <w:tc>
          <w:tcPr>
            <w:tcW w:w="4982" w:type="dxa"/>
            <w:gridSpan w:val="4"/>
            <w:shd w:val="clear" w:color="auto" w:fill="auto"/>
          </w:tcPr>
          <w:p w:rsidR="00E25B06" w:rsidRDefault="00E25B06">
            <w:pPr>
              <w:rPr>
                <w:rFonts w:cs="Arial"/>
                <w:szCs w:val="21"/>
              </w:rPr>
            </w:pPr>
          </w:p>
        </w:tc>
        <w:tc>
          <w:tcPr>
            <w:tcW w:w="2108" w:type="dxa"/>
            <w:shd w:val="clear" w:color="auto" w:fill="auto"/>
          </w:tcPr>
          <w:p w:rsidR="00E25B06" w:rsidRDefault="00E25B06">
            <w:pPr>
              <w:rPr>
                <w:rFonts w:cs="Arial"/>
                <w:szCs w:val="21"/>
              </w:rPr>
            </w:pPr>
          </w:p>
        </w:tc>
      </w:tr>
      <w:tr w:rsidR="00E25B06">
        <w:tc>
          <w:tcPr>
            <w:tcW w:w="2320" w:type="dxa"/>
            <w:shd w:val="clear" w:color="auto" w:fill="auto"/>
          </w:tcPr>
          <w:p w:rsidR="00E25B06" w:rsidRDefault="00E75068">
            <w:pPr>
              <w:rPr>
                <w:rFonts w:cs="Arial"/>
                <w:szCs w:val="21"/>
              </w:rPr>
            </w:pPr>
            <w:r>
              <w:rPr>
                <w:rFonts w:cs="Arial"/>
                <w:szCs w:val="21"/>
              </w:rPr>
              <w:t>Collegevergadering</w:t>
            </w:r>
          </w:p>
        </w:tc>
        <w:tc>
          <w:tcPr>
            <w:tcW w:w="340" w:type="dxa"/>
            <w:shd w:val="clear" w:color="auto" w:fill="auto"/>
          </w:tcPr>
          <w:p w:rsidR="00E25B06" w:rsidRDefault="00E75068">
            <w:pPr>
              <w:jc w:val="center"/>
              <w:rPr>
                <w:rFonts w:cs="Arial"/>
                <w:szCs w:val="21"/>
              </w:rPr>
            </w:pPr>
            <w:r>
              <w:rPr>
                <w:rFonts w:cs="Arial"/>
                <w:szCs w:val="21"/>
              </w:rPr>
              <w:t>:</w:t>
            </w:r>
          </w:p>
        </w:tc>
        <w:tc>
          <w:tcPr>
            <w:tcW w:w="4982" w:type="dxa"/>
            <w:gridSpan w:val="4"/>
            <w:shd w:val="clear" w:color="auto" w:fill="auto"/>
          </w:tcPr>
          <w:p w:rsidR="00E25B06" w:rsidRDefault="00E75068">
            <w:r>
              <w:rPr>
                <w:rFonts w:cs="Arial"/>
                <w:color w:val="333333"/>
                <w:szCs w:val="21"/>
              </w:rPr>
              <w:t>01-10-2021</w:t>
            </w:r>
          </w:p>
        </w:tc>
        <w:tc>
          <w:tcPr>
            <w:tcW w:w="2108" w:type="dxa"/>
            <w:shd w:val="clear" w:color="auto" w:fill="auto"/>
          </w:tcPr>
          <w:p w:rsidR="00E25B06" w:rsidRDefault="00E25B06">
            <w:pPr>
              <w:rPr>
                <w:rFonts w:cs="Arial"/>
                <w:szCs w:val="21"/>
              </w:rPr>
            </w:pPr>
          </w:p>
        </w:tc>
      </w:tr>
      <w:tr w:rsidR="00E25B06">
        <w:tc>
          <w:tcPr>
            <w:tcW w:w="2320" w:type="dxa"/>
            <w:shd w:val="clear" w:color="auto" w:fill="auto"/>
          </w:tcPr>
          <w:p w:rsidR="00E25B06" w:rsidRDefault="00E75068">
            <w:pPr>
              <w:rPr>
                <w:rFonts w:cs="Arial"/>
                <w:szCs w:val="21"/>
              </w:rPr>
            </w:pPr>
            <w:r>
              <w:rPr>
                <w:rFonts w:cs="Arial"/>
                <w:szCs w:val="21"/>
              </w:rPr>
              <w:t>Portefeuillehouder</w:t>
            </w:r>
          </w:p>
        </w:tc>
        <w:tc>
          <w:tcPr>
            <w:tcW w:w="340" w:type="dxa"/>
            <w:shd w:val="clear" w:color="auto" w:fill="auto"/>
          </w:tcPr>
          <w:p w:rsidR="00E25B06" w:rsidRDefault="00E75068">
            <w:pPr>
              <w:jc w:val="center"/>
              <w:rPr>
                <w:rFonts w:cs="Arial"/>
                <w:szCs w:val="21"/>
              </w:rPr>
            </w:pPr>
            <w:r>
              <w:rPr>
                <w:rFonts w:cs="Arial"/>
                <w:szCs w:val="21"/>
              </w:rPr>
              <w:t>:</w:t>
            </w:r>
          </w:p>
        </w:tc>
        <w:tc>
          <w:tcPr>
            <w:tcW w:w="4982" w:type="dxa"/>
            <w:gridSpan w:val="4"/>
            <w:shd w:val="clear" w:color="auto" w:fill="auto"/>
          </w:tcPr>
          <w:p w:rsidR="00E25B06" w:rsidRDefault="00E75068">
            <w:r>
              <w:rPr>
                <w:rFonts w:cs="Arial"/>
                <w:color w:val="333333"/>
                <w:szCs w:val="21"/>
              </w:rPr>
              <w:t>Wethouder G.J. Teselink</w:t>
            </w:r>
          </w:p>
        </w:tc>
        <w:tc>
          <w:tcPr>
            <w:tcW w:w="2108" w:type="dxa"/>
            <w:shd w:val="clear" w:color="auto" w:fill="auto"/>
          </w:tcPr>
          <w:p w:rsidR="00E25B06" w:rsidRDefault="00E25B06">
            <w:pPr>
              <w:rPr>
                <w:rFonts w:cs="Arial"/>
                <w:szCs w:val="21"/>
              </w:rPr>
            </w:pPr>
          </w:p>
        </w:tc>
      </w:tr>
      <w:tr w:rsidR="00E25B06">
        <w:tc>
          <w:tcPr>
            <w:tcW w:w="2320" w:type="dxa"/>
            <w:shd w:val="clear" w:color="auto" w:fill="auto"/>
          </w:tcPr>
          <w:p w:rsidR="00E25B06" w:rsidRDefault="00E75068">
            <w:pPr>
              <w:rPr>
                <w:rFonts w:cs="Arial"/>
                <w:szCs w:val="21"/>
              </w:rPr>
            </w:pPr>
            <w:r>
              <w:rPr>
                <w:rFonts w:cs="Arial"/>
                <w:szCs w:val="21"/>
              </w:rPr>
              <w:t xml:space="preserve">Steller </w:t>
            </w:r>
          </w:p>
        </w:tc>
        <w:tc>
          <w:tcPr>
            <w:tcW w:w="340" w:type="dxa"/>
            <w:shd w:val="clear" w:color="auto" w:fill="auto"/>
          </w:tcPr>
          <w:p w:rsidR="00E25B06" w:rsidRDefault="00E75068">
            <w:pPr>
              <w:jc w:val="center"/>
              <w:rPr>
                <w:rFonts w:cs="Arial"/>
                <w:szCs w:val="21"/>
              </w:rPr>
            </w:pPr>
            <w:r>
              <w:rPr>
                <w:rFonts w:cs="Arial"/>
                <w:szCs w:val="21"/>
              </w:rPr>
              <w:t>:</w:t>
            </w:r>
          </w:p>
        </w:tc>
        <w:tc>
          <w:tcPr>
            <w:tcW w:w="3968" w:type="dxa"/>
            <w:gridSpan w:val="2"/>
            <w:shd w:val="clear" w:color="auto" w:fill="auto"/>
          </w:tcPr>
          <w:p w:rsidR="00E25B06" w:rsidRDefault="00E75068">
            <w:pPr>
              <w:rPr>
                <w:rFonts w:cs="Arial"/>
                <w:szCs w:val="21"/>
              </w:rPr>
            </w:pPr>
            <w:r>
              <w:rPr>
                <w:rFonts w:cs="Arial"/>
                <w:szCs w:val="21"/>
              </w:rPr>
              <w:t xml:space="preserve">Gussekloo, Eric, </w:t>
            </w:r>
            <w:r>
              <w:rPr>
                <w:rFonts w:cs="Arial"/>
                <w:color w:val="333333"/>
                <w:szCs w:val="21"/>
              </w:rPr>
              <w:t>Team Financieel beleid</w:t>
            </w:r>
            <w:r>
              <w:rPr>
                <w:rFonts w:cs="Arial"/>
                <w:szCs w:val="21"/>
              </w:rPr>
              <w:t xml:space="preserve"> </w:t>
            </w:r>
          </w:p>
        </w:tc>
        <w:tc>
          <w:tcPr>
            <w:tcW w:w="715" w:type="dxa"/>
            <w:shd w:val="clear" w:color="auto" w:fill="auto"/>
          </w:tcPr>
          <w:p w:rsidR="00E25B06" w:rsidRDefault="00E75068">
            <w:pPr>
              <w:rPr>
                <w:rFonts w:cs="Arial"/>
                <w:szCs w:val="21"/>
              </w:rPr>
            </w:pPr>
            <w:r>
              <w:rPr>
                <w:rFonts w:cs="Arial"/>
                <w:szCs w:val="21"/>
              </w:rPr>
              <w:t xml:space="preserve">tel.            </w:t>
            </w:r>
          </w:p>
        </w:tc>
        <w:tc>
          <w:tcPr>
            <w:tcW w:w="299" w:type="dxa"/>
            <w:shd w:val="clear" w:color="auto" w:fill="auto"/>
          </w:tcPr>
          <w:p w:rsidR="00E25B06" w:rsidRDefault="00E75068">
            <w:pPr>
              <w:rPr>
                <w:rFonts w:cs="Arial"/>
                <w:szCs w:val="21"/>
              </w:rPr>
            </w:pPr>
            <w:r>
              <w:rPr>
                <w:rFonts w:cs="Arial"/>
                <w:szCs w:val="21"/>
              </w:rPr>
              <w:t>:</w:t>
            </w:r>
          </w:p>
        </w:tc>
        <w:tc>
          <w:tcPr>
            <w:tcW w:w="2108" w:type="dxa"/>
            <w:shd w:val="clear" w:color="auto" w:fill="auto"/>
          </w:tcPr>
          <w:p w:rsidR="00E25B06" w:rsidRDefault="00E75068">
            <w:pPr>
              <w:rPr>
                <w:rFonts w:cs="Arial"/>
                <w:szCs w:val="21"/>
              </w:rPr>
            </w:pPr>
            <w:r>
              <w:rPr>
                <w:rFonts w:cs="Arial"/>
                <w:szCs w:val="21"/>
              </w:rPr>
              <w:t>0545250576</w:t>
            </w:r>
          </w:p>
        </w:tc>
      </w:tr>
      <w:tr w:rsidR="00E25B06">
        <w:tc>
          <w:tcPr>
            <w:tcW w:w="2320" w:type="dxa"/>
            <w:shd w:val="clear" w:color="auto" w:fill="auto"/>
          </w:tcPr>
          <w:p w:rsidR="00E25B06" w:rsidRDefault="00E25B06">
            <w:pPr>
              <w:rPr>
                <w:rFonts w:cs="Arial"/>
                <w:szCs w:val="21"/>
              </w:rPr>
            </w:pPr>
          </w:p>
        </w:tc>
        <w:tc>
          <w:tcPr>
            <w:tcW w:w="340" w:type="dxa"/>
            <w:shd w:val="clear" w:color="auto" w:fill="auto"/>
          </w:tcPr>
          <w:p w:rsidR="00E25B06" w:rsidRDefault="00E25B06">
            <w:pPr>
              <w:jc w:val="center"/>
              <w:rPr>
                <w:rFonts w:cs="Arial"/>
                <w:szCs w:val="21"/>
              </w:rPr>
            </w:pPr>
          </w:p>
        </w:tc>
        <w:tc>
          <w:tcPr>
            <w:tcW w:w="3968" w:type="dxa"/>
            <w:gridSpan w:val="2"/>
            <w:shd w:val="clear" w:color="auto" w:fill="auto"/>
          </w:tcPr>
          <w:p w:rsidR="00E25B06" w:rsidRDefault="00E25B06">
            <w:pPr>
              <w:rPr>
                <w:rFonts w:cs="Arial"/>
                <w:color w:val="333333"/>
                <w:szCs w:val="21"/>
              </w:rPr>
            </w:pPr>
          </w:p>
        </w:tc>
        <w:tc>
          <w:tcPr>
            <w:tcW w:w="715" w:type="dxa"/>
            <w:shd w:val="clear" w:color="auto" w:fill="auto"/>
          </w:tcPr>
          <w:p w:rsidR="00E25B06" w:rsidRDefault="00E25B06">
            <w:pPr>
              <w:rPr>
                <w:rFonts w:cs="Arial"/>
                <w:szCs w:val="21"/>
              </w:rPr>
            </w:pPr>
          </w:p>
        </w:tc>
        <w:tc>
          <w:tcPr>
            <w:tcW w:w="299" w:type="dxa"/>
            <w:shd w:val="clear" w:color="auto" w:fill="auto"/>
          </w:tcPr>
          <w:p w:rsidR="00E25B06" w:rsidRDefault="00E25B06">
            <w:pPr>
              <w:rPr>
                <w:rFonts w:cs="Arial"/>
                <w:szCs w:val="21"/>
              </w:rPr>
            </w:pPr>
          </w:p>
        </w:tc>
        <w:tc>
          <w:tcPr>
            <w:tcW w:w="2108" w:type="dxa"/>
            <w:shd w:val="clear" w:color="auto" w:fill="auto"/>
          </w:tcPr>
          <w:p w:rsidR="00E25B06" w:rsidRDefault="00E25B06">
            <w:pPr>
              <w:rPr>
                <w:rFonts w:cs="Arial"/>
                <w:szCs w:val="21"/>
              </w:rPr>
            </w:pPr>
          </w:p>
        </w:tc>
      </w:tr>
    </w:tbl>
    <w:p w:rsidR="00E25B06" w:rsidRDefault="00E25B06">
      <w:pPr>
        <w:ind w:right="-1407"/>
        <w:rPr>
          <w:rFonts w:cs="Arial"/>
          <w:b/>
          <w:szCs w:val="21"/>
        </w:rPr>
      </w:pPr>
    </w:p>
    <w:tbl>
      <w:tblPr>
        <w:tblW w:w="9071"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tblCellMar>
          <w:top w:w="28" w:type="dxa"/>
          <w:left w:w="28" w:type="dxa"/>
          <w:bottom w:w="28" w:type="dxa"/>
          <w:right w:w="28" w:type="dxa"/>
        </w:tblCellMar>
        <w:tblLook w:val="04A0" w:firstRow="1" w:lastRow="0" w:firstColumn="1" w:lastColumn="0" w:noHBand="0" w:noVBand="1"/>
      </w:tblPr>
      <w:tblGrid>
        <w:gridCol w:w="9071"/>
      </w:tblGrid>
      <w:tr w:rsidR="00E25B06">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rsidR="00E25B06" w:rsidRDefault="00E75068">
            <w:pPr>
              <w:ind w:left="57"/>
            </w:pPr>
            <w:r>
              <w:rPr>
                <w:rFonts w:cs="Arial"/>
                <w:b/>
                <w:szCs w:val="21"/>
              </w:rPr>
              <w:t>Te nemen besluit</w:t>
            </w:r>
            <w:r>
              <w:rPr>
                <w:szCs w:val="21"/>
              </w:rPr>
              <w:t xml:space="preserve"> </w:t>
            </w:r>
          </w:p>
          <w:p w:rsidR="00E25B06" w:rsidRDefault="00E75068" w:rsidP="001B158C">
            <w:pPr>
              <w:pStyle w:val="Plattetekst"/>
              <w:numPr>
                <w:ilvl w:val="0"/>
                <w:numId w:val="11"/>
              </w:numPr>
              <w:tabs>
                <w:tab w:val="left" w:pos="0"/>
              </w:tabs>
              <w:spacing w:after="0"/>
              <w:rPr>
                <w:rFonts w:cs="Arial"/>
                <w:szCs w:val="21"/>
              </w:rPr>
            </w:pPr>
            <w:r>
              <w:rPr>
                <w:rFonts w:cs="Arial"/>
                <w:szCs w:val="21"/>
              </w:rPr>
              <w:t>De programmabegroting 2022 vaststellen inclusief het gelijk houden van het tarief voor rioolheffing aan het tarief van 2021 en een eenmalige korting van € 35 per aansluiting op de rioolheffing</w:t>
            </w:r>
            <w:r w:rsidR="00C71D97">
              <w:rPr>
                <w:rFonts w:cs="Arial"/>
                <w:szCs w:val="21"/>
              </w:rPr>
              <w:t xml:space="preserve"> voor eigenaren</w:t>
            </w:r>
            <w:r>
              <w:rPr>
                <w:rFonts w:cs="Arial"/>
                <w:szCs w:val="21"/>
              </w:rPr>
              <w:t>.</w:t>
            </w:r>
          </w:p>
          <w:p w:rsidR="00E25B06" w:rsidRDefault="00E75068" w:rsidP="001B158C">
            <w:pPr>
              <w:pStyle w:val="Plattetekst"/>
              <w:numPr>
                <w:ilvl w:val="0"/>
                <w:numId w:val="11"/>
              </w:numPr>
              <w:tabs>
                <w:tab w:val="left" w:pos="0"/>
              </w:tabs>
              <w:spacing w:after="0"/>
              <w:rPr>
                <w:rFonts w:cs="Arial"/>
                <w:szCs w:val="21"/>
              </w:rPr>
            </w:pPr>
            <w:r>
              <w:rPr>
                <w:rFonts w:cs="Arial"/>
                <w:szCs w:val="21"/>
              </w:rPr>
              <w:t>De 1e begrotingswijziging 2022 vaststellen inclusief</w:t>
            </w:r>
          </w:p>
          <w:p w:rsidR="00E25B06" w:rsidRDefault="00E75068" w:rsidP="001B158C">
            <w:pPr>
              <w:pStyle w:val="Plattetekst"/>
              <w:numPr>
                <w:ilvl w:val="1"/>
                <w:numId w:val="11"/>
              </w:numPr>
              <w:tabs>
                <w:tab w:val="left" w:pos="0"/>
              </w:tabs>
              <w:spacing w:after="0"/>
              <w:rPr>
                <w:rFonts w:cs="Arial"/>
                <w:szCs w:val="21"/>
              </w:rPr>
            </w:pPr>
            <w:r>
              <w:rPr>
                <w:rFonts w:cs="Arial"/>
                <w:szCs w:val="21"/>
              </w:rPr>
              <w:t>het verlagen van de reserve afvalstoffenheffing tot het plafond van € 1 miljoen en een eenmalige korting op de afvalstoffenheffing van ongeveer 20%.</w:t>
            </w:r>
          </w:p>
          <w:p w:rsidR="00E25B06" w:rsidRDefault="00E75068" w:rsidP="001B158C">
            <w:pPr>
              <w:pStyle w:val="Plattetekst"/>
              <w:numPr>
                <w:ilvl w:val="1"/>
                <w:numId w:val="11"/>
              </w:numPr>
              <w:tabs>
                <w:tab w:val="left" w:pos="0"/>
              </w:tabs>
              <w:spacing w:after="0"/>
              <w:rPr>
                <w:rFonts w:cs="Arial"/>
                <w:szCs w:val="21"/>
              </w:rPr>
            </w:pPr>
            <w:r>
              <w:rPr>
                <w:rFonts w:cs="Arial"/>
                <w:szCs w:val="21"/>
              </w:rPr>
              <w:t>het verlagen van de taakstelling zorg met €1,6 miljoen en</w:t>
            </w:r>
          </w:p>
          <w:p w:rsidR="00E25B06" w:rsidRDefault="00E75068" w:rsidP="001B158C">
            <w:pPr>
              <w:pStyle w:val="Plattetekst"/>
              <w:numPr>
                <w:ilvl w:val="1"/>
                <w:numId w:val="11"/>
              </w:numPr>
              <w:tabs>
                <w:tab w:val="left" w:pos="0"/>
              </w:tabs>
              <w:spacing w:after="0"/>
              <w:rPr>
                <w:rFonts w:cs="Arial"/>
                <w:szCs w:val="21"/>
              </w:rPr>
            </w:pPr>
            <w:r>
              <w:rPr>
                <w:rFonts w:cs="Arial"/>
                <w:szCs w:val="21"/>
              </w:rPr>
              <w:t xml:space="preserve">het verhogen van het budget voor compensatie OZB met € 80.000 </w:t>
            </w:r>
            <w:r w:rsidR="004C0FC1">
              <w:rPr>
                <w:rFonts w:cs="Arial"/>
                <w:szCs w:val="21"/>
              </w:rPr>
              <w:t>ten behoeve</w:t>
            </w:r>
            <w:r>
              <w:rPr>
                <w:rFonts w:cs="Arial"/>
                <w:szCs w:val="21"/>
              </w:rPr>
              <w:t xml:space="preserve"> van cultuurverenigingen met een eigen accommodatie.</w:t>
            </w:r>
          </w:p>
          <w:p w:rsidR="00E25B06" w:rsidRDefault="00E75068" w:rsidP="001B158C">
            <w:pPr>
              <w:pStyle w:val="Plattetekst"/>
              <w:numPr>
                <w:ilvl w:val="0"/>
                <w:numId w:val="11"/>
              </w:numPr>
              <w:tabs>
                <w:tab w:val="left" w:pos="0"/>
              </w:tabs>
              <w:spacing w:after="0"/>
              <w:rPr>
                <w:rFonts w:cs="Arial"/>
                <w:szCs w:val="21"/>
              </w:rPr>
            </w:pPr>
            <w:r>
              <w:rPr>
                <w:rFonts w:cs="Arial"/>
                <w:szCs w:val="21"/>
              </w:rPr>
              <w:t xml:space="preserve">Het overschot op de begroting 2022 inclusief 1e wijziging van € </w:t>
            </w:r>
            <w:r w:rsidR="00961FF1">
              <w:rPr>
                <w:rFonts w:cs="Arial"/>
                <w:szCs w:val="21"/>
              </w:rPr>
              <w:t>3.3</w:t>
            </w:r>
            <w:r w:rsidR="00C97FA2">
              <w:rPr>
                <w:rFonts w:cs="Arial"/>
                <w:szCs w:val="21"/>
              </w:rPr>
              <w:t>19</w:t>
            </w:r>
            <w:r>
              <w:rPr>
                <w:rFonts w:cs="Arial"/>
                <w:szCs w:val="21"/>
              </w:rPr>
              <w:t xml:space="preserve">.000 dat ontstaat na de eerste begrotingswijziging voor € 900.000 toevoegen aan de reserve nadelen decentralisatie en voor € </w:t>
            </w:r>
            <w:r w:rsidR="00961FF1">
              <w:rPr>
                <w:rFonts w:cs="Arial"/>
                <w:szCs w:val="21"/>
              </w:rPr>
              <w:t>2.4</w:t>
            </w:r>
            <w:r w:rsidR="00C97FA2">
              <w:rPr>
                <w:rFonts w:cs="Arial"/>
                <w:szCs w:val="21"/>
              </w:rPr>
              <w:t>19</w:t>
            </w:r>
            <w:r w:rsidR="00961FF1">
              <w:rPr>
                <w:rFonts w:cs="Arial"/>
                <w:szCs w:val="21"/>
              </w:rPr>
              <w:t xml:space="preserve">.000 </w:t>
            </w:r>
            <w:r>
              <w:rPr>
                <w:rFonts w:cs="Arial"/>
                <w:szCs w:val="21"/>
              </w:rPr>
              <w:t>aan de algemene reserve.</w:t>
            </w:r>
          </w:p>
        </w:tc>
      </w:tr>
    </w:tbl>
    <w:p w:rsidR="00E25B06" w:rsidRDefault="00E25B06">
      <w:pPr>
        <w:ind w:right="-1407"/>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b/>
                <w:szCs w:val="21"/>
              </w:rPr>
            </w:pPr>
            <w:r>
              <w:rPr>
                <w:rFonts w:cs="Arial"/>
                <w:b/>
                <w:szCs w:val="21"/>
              </w:rPr>
              <w:t>Waarom dit voorstel en wat is het effect</w:t>
            </w:r>
          </w:p>
          <w:p w:rsidR="00E25B06" w:rsidRDefault="00E75068">
            <w:pPr>
              <w:ind w:left="57"/>
              <w:rPr>
                <w:rFonts w:cs="Arial"/>
                <w:szCs w:val="21"/>
              </w:rPr>
            </w:pPr>
            <w:r>
              <w:rPr>
                <w:rFonts w:cs="Arial"/>
                <w:szCs w:val="21"/>
              </w:rPr>
              <w:t>Uw raad moet voorafgaand aan het begrotingsjaar een begroting vaststellen. Dit staat in de Gemeentewet. Met een vastgestelde begroting is er een uitvoeringsplan voor 2022 en kan het voorgenomen beleid worden uitgevoerd.</w:t>
            </w:r>
          </w:p>
        </w:tc>
      </w:tr>
    </w:tbl>
    <w:p w:rsidR="00E25B06" w:rsidRDefault="00E25B06">
      <w:pPr>
        <w:ind w:right="-1407"/>
        <w:rPr>
          <w:rFonts w:cs="Arial"/>
          <w:color w:val="333333"/>
          <w:szCs w:val="21"/>
        </w:rPr>
      </w:pPr>
    </w:p>
    <w:tbl>
      <w:tblPr>
        <w:tblW w:w="9071"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tblCellMar>
          <w:top w:w="28" w:type="dxa"/>
          <w:left w:w="28" w:type="dxa"/>
          <w:bottom w:w="28" w:type="dxa"/>
          <w:right w:w="28" w:type="dxa"/>
        </w:tblCellMar>
        <w:tblLook w:val="04A0" w:firstRow="1" w:lastRow="0" w:firstColumn="1" w:lastColumn="0" w:noHBand="0" w:noVBand="1"/>
      </w:tblPr>
      <w:tblGrid>
        <w:gridCol w:w="9071"/>
      </w:tblGrid>
      <w:tr w:rsidR="00E25B06">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rsidR="00E25B06" w:rsidRDefault="00E75068">
            <w:pPr>
              <w:pStyle w:val="TableContents"/>
              <w:rPr>
                <w:rFonts w:cs="Arial"/>
                <w:b/>
                <w:bCs/>
                <w:szCs w:val="21"/>
              </w:rPr>
            </w:pPr>
            <w:r>
              <w:rPr>
                <w:rFonts w:cs="Arial"/>
                <w:b/>
                <w:bCs/>
                <w:szCs w:val="21"/>
              </w:rPr>
              <w:t>Argumentatie</w:t>
            </w:r>
          </w:p>
          <w:p w:rsidR="001B158C" w:rsidRDefault="00E75068" w:rsidP="001B158C">
            <w:pPr>
              <w:pStyle w:val="Plattetekst"/>
              <w:numPr>
                <w:ilvl w:val="0"/>
                <w:numId w:val="12"/>
              </w:numPr>
              <w:tabs>
                <w:tab w:val="left" w:pos="0"/>
              </w:tabs>
              <w:spacing w:after="0"/>
              <w:rPr>
                <w:rFonts w:cs="Arial"/>
                <w:szCs w:val="21"/>
              </w:rPr>
            </w:pPr>
            <w:r w:rsidRPr="001B158C">
              <w:rPr>
                <w:rFonts w:cs="Arial"/>
                <w:szCs w:val="21"/>
              </w:rPr>
              <w:t>Deze programmabegroting is gebaseerd op het collegeprogramma 2018-2022 en de Perspectiefnota 2022. De begroting 2022 laat een positief resultaat zien van € 499.000 (waarvan € 476.000 structureel). In 2025 is het structurele resultaat € 1.182.000 negatief. De meerjarenbegroting kent geen sluitend meerjarenperspectief. Na opstellen van de meerjarenbegroting zijn er ontwikkelingen (met name de septembercirculaire) die van grote invloed zijn op het begrotingssaldo. Daarom is de 1e begrotingswijziging toegevoegd zodat de gewijzigde begroting voldoet aan de afspraken met de toezichthouder.</w:t>
            </w:r>
            <w:r w:rsidR="001B158C" w:rsidRPr="001B158C">
              <w:rPr>
                <w:rFonts w:cs="Arial"/>
                <w:szCs w:val="21"/>
              </w:rPr>
              <w:br/>
            </w:r>
            <w:r w:rsidRPr="001B158C">
              <w:rPr>
                <w:rFonts w:cs="Arial"/>
                <w:szCs w:val="21"/>
              </w:rPr>
              <w:t>Zoals toegezegd houden we de ontwikkeling van het tarief voor rioolheffing in combinatie met de hoogte van de voorziening riolering bij iedere begroting tegen het licht. De hoogte van de voorziening geeft aanleiding om het tarief niet te laten stijgen en zelfs een gedeelte van de voorziening terug te geven via een eenmalige korting.</w:t>
            </w:r>
          </w:p>
          <w:p w:rsidR="00E25B06" w:rsidRPr="001B158C" w:rsidRDefault="00E75068" w:rsidP="001B158C">
            <w:pPr>
              <w:pStyle w:val="Plattetekst"/>
              <w:numPr>
                <w:ilvl w:val="0"/>
                <w:numId w:val="12"/>
              </w:numPr>
              <w:tabs>
                <w:tab w:val="left" w:pos="0"/>
              </w:tabs>
              <w:spacing w:after="0"/>
              <w:rPr>
                <w:rFonts w:cs="Arial"/>
                <w:szCs w:val="21"/>
              </w:rPr>
            </w:pPr>
            <w:r w:rsidRPr="001B158C">
              <w:rPr>
                <w:rFonts w:cs="Arial"/>
                <w:szCs w:val="21"/>
              </w:rPr>
              <w:t>In de 1e begrotingswijziging zijn de ontwikkelingen tot en met 2</w:t>
            </w:r>
            <w:r w:rsidR="00235D8D">
              <w:rPr>
                <w:rFonts w:cs="Arial"/>
                <w:szCs w:val="21"/>
              </w:rPr>
              <w:t>7</w:t>
            </w:r>
            <w:r w:rsidRPr="001B158C">
              <w:rPr>
                <w:rFonts w:cs="Arial"/>
                <w:szCs w:val="21"/>
              </w:rPr>
              <w:t xml:space="preserve"> september 2021 meegenomen, waaronder de </w:t>
            </w:r>
            <w:r w:rsidR="00F13565">
              <w:rPr>
                <w:rFonts w:cs="Arial"/>
                <w:szCs w:val="21"/>
              </w:rPr>
              <w:t>geüpdatete</w:t>
            </w:r>
            <w:bookmarkStart w:id="0" w:name="_GoBack"/>
            <w:bookmarkEnd w:id="0"/>
            <w:r w:rsidR="00F13565">
              <w:rPr>
                <w:rFonts w:cs="Arial"/>
                <w:szCs w:val="21"/>
              </w:rPr>
              <w:t xml:space="preserve"> </w:t>
            </w:r>
            <w:r w:rsidRPr="001B158C">
              <w:rPr>
                <w:rFonts w:cs="Arial"/>
                <w:szCs w:val="21"/>
              </w:rPr>
              <w:t>septembercirculaire. Door deze laatste ontwikkelingen mee te nemen ontstaat een positief meerjarenperspectief. De meerjarenbegroting en de 1e wijziging moeten daarom in samenhang worden gezien voor het juiste meerjarenperspectief.</w:t>
            </w:r>
          </w:p>
          <w:p w:rsidR="00E25B06" w:rsidRDefault="00E75068" w:rsidP="001B158C">
            <w:pPr>
              <w:pStyle w:val="Plattetekst"/>
              <w:numPr>
                <w:ilvl w:val="1"/>
                <w:numId w:val="12"/>
              </w:numPr>
              <w:tabs>
                <w:tab w:val="left" w:pos="0"/>
              </w:tabs>
              <w:spacing w:after="0"/>
              <w:rPr>
                <w:rFonts w:cs="Arial"/>
                <w:szCs w:val="21"/>
              </w:rPr>
            </w:pPr>
            <w:r>
              <w:rPr>
                <w:rFonts w:cs="Arial"/>
                <w:szCs w:val="21"/>
              </w:rPr>
              <w:t xml:space="preserve">De egalisatiereserve afval zit boven het plafond. Hoewel het tarief niet kostendekkend is, zien we geen reden om het gedeelte boven het plafond via een eenmalige korting op de </w:t>
            </w:r>
            <w:r>
              <w:rPr>
                <w:rFonts w:cs="Arial"/>
                <w:szCs w:val="21"/>
              </w:rPr>
              <w:lastRenderedPageBreak/>
              <w:t>afvalstoffenheffing niet terug te geven.</w:t>
            </w:r>
          </w:p>
          <w:p w:rsidR="00E25B06" w:rsidRDefault="00E75068" w:rsidP="001B158C">
            <w:pPr>
              <w:pStyle w:val="Plattetekst"/>
              <w:numPr>
                <w:ilvl w:val="1"/>
                <w:numId w:val="12"/>
              </w:numPr>
              <w:tabs>
                <w:tab w:val="left" w:pos="0"/>
              </w:tabs>
              <w:spacing w:after="0"/>
              <w:rPr>
                <w:rFonts w:cs="Arial"/>
                <w:szCs w:val="21"/>
              </w:rPr>
            </w:pPr>
            <w:r>
              <w:rPr>
                <w:rFonts w:cs="Arial"/>
                <w:szCs w:val="21"/>
              </w:rPr>
              <w:t>In de begroting is nog een taakstelling opgenomen voor de zorg in 2022. Inmiddels is duidelijk geworden dat het realiseren van de taakstelling vertraging oploopt. Naar verwachting kan ongeveer € 900.000 worden gerealiseerd. We verlagen de taakstelling daarom met € 1,6 miljoen.</w:t>
            </w:r>
          </w:p>
          <w:p w:rsidR="00E25B06" w:rsidRDefault="00E75068" w:rsidP="001B158C">
            <w:pPr>
              <w:pStyle w:val="Plattetekst"/>
              <w:numPr>
                <w:ilvl w:val="1"/>
                <w:numId w:val="12"/>
              </w:numPr>
              <w:tabs>
                <w:tab w:val="left" w:pos="0"/>
              </w:tabs>
              <w:spacing w:after="0"/>
              <w:rPr>
                <w:rFonts w:cs="Arial"/>
                <w:szCs w:val="21"/>
              </w:rPr>
            </w:pPr>
            <w:r>
              <w:rPr>
                <w:rFonts w:cs="Arial"/>
                <w:szCs w:val="21"/>
              </w:rPr>
              <w:t>Om motie M21-19 gelijke behandeling van sport- en cultuurverenigingen uit te kunnen voeren is extra budget nodig. We gaan voorlopig uit van € 80.000</w:t>
            </w:r>
          </w:p>
          <w:p w:rsidR="00E25B06" w:rsidRDefault="00E75068" w:rsidP="001B158C">
            <w:pPr>
              <w:pStyle w:val="Plattetekst"/>
              <w:numPr>
                <w:ilvl w:val="0"/>
                <w:numId w:val="12"/>
              </w:numPr>
              <w:tabs>
                <w:tab w:val="left" w:pos="0"/>
              </w:tabs>
              <w:spacing w:after="0"/>
              <w:rPr>
                <w:rFonts w:cs="Arial"/>
                <w:szCs w:val="21"/>
              </w:rPr>
            </w:pPr>
            <w:r>
              <w:rPr>
                <w:rFonts w:cs="Arial"/>
                <w:szCs w:val="21"/>
              </w:rPr>
              <w:t xml:space="preserve">Voor de jeugdzorg ontvangen we € 2,5 miljoen. Hiervan zetten we € 1,6 miljoen in voor de taakstelling. In lijn met het huidige beleid dat nieuwe taken in het sociaal domein bekostigd moeten worden uit nieuw geld van het Rijk storten we het overblijvende deel van de middelen jeugdzorg € 900.000 in de reserve nadelen decentralisaties. Het restant van het overschot € </w:t>
            </w:r>
            <w:r w:rsidR="00961FF1">
              <w:rPr>
                <w:rFonts w:cs="Arial"/>
                <w:szCs w:val="21"/>
              </w:rPr>
              <w:t>2.4</w:t>
            </w:r>
            <w:r w:rsidR="00C97FA2">
              <w:rPr>
                <w:rFonts w:cs="Arial"/>
                <w:szCs w:val="21"/>
              </w:rPr>
              <w:t>19</w:t>
            </w:r>
            <w:r>
              <w:rPr>
                <w:rFonts w:cs="Arial"/>
                <w:szCs w:val="21"/>
              </w:rPr>
              <w:t xml:space="preserve">.000 storten we in de algemene reserve omdat er nog veel onzekerheden zijn. Bijvoorbeeld over de gevolgen van de coronacrisis, de herijking van het gemeentefonds en de vorming van een nieuw kabinet en de ontwikkelingen van de zorgkosten en inkomsten. Door het resultaat van deze begroting nu in de algemene reserve te stoppen zijn er incidentele middelen beschikbaar voor een nieuwe raad om nieuw beleid uit te kunnen voeren. Als laatste is er nog een formele grond om het overschot toe te voegen aan de algemene reserve. De prognose van de solvabiliteit </w:t>
            </w:r>
            <w:r w:rsidR="004C0FC1">
              <w:rPr>
                <w:rFonts w:cs="Arial"/>
                <w:szCs w:val="21"/>
              </w:rPr>
              <w:t xml:space="preserve">is </w:t>
            </w:r>
            <w:r>
              <w:rPr>
                <w:rFonts w:cs="Arial"/>
                <w:szCs w:val="21"/>
              </w:rPr>
              <w:t>gedaald onder de gewenste grens van 35%. Daar waar de provincie uitgaat van 50%.  </w:t>
            </w:r>
          </w:p>
        </w:tc>
      </w:tr>
    </w:tbl>
    <w:p w:rsidR="00E25B06" w:rsidRDefault="00E25B06">
      <w:pPr>
        <w:ind w:right="-1407"/>
        <w:rPr>
          <w:rFonts w:cs="Arial"/>
          <w:b/>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b/>
                <w:szCs w:val="21"/>
              </w:rPr>
            </w:pPr>
            <w:r>
              <w:rPr>
                <w:rFonts w:cs="Arial"/>
                <w:b/>
                <w:szCs w:val="21"/>
              </w:rPr>
              <w:t>Kanttekeningen en risico’s</w:t>
            </w:r>
          </w:p>
          <w:p w:rsidR="00E25B06" w:rsidRDefault="00E75068">
            <w:pPr>
              <w:pStyle w:val="Plattetekst"/>
              <w:numPr>
                <w:ilvl w:val="0"/>
                <w:numId w:val="4"/>
              </w:numPr>
              <w:tabs>
                <w:tab w:val="left" w:pos="0"/>
              </w:tabs>
              <w:spacing w:after="0"/>
              <w:ind w:left="633"/>
              <w:rPr>
                <w:rFonts w:cs="Arial"/>
                <w:color w:val="333333"/>
                <w:szCs w:val="21"/>
              </w:rPr>
            </w:pPr>
            <w:r>
              <w:rPr>
                <w:rFonts w:cs="Arial"/>
                <w:color w:val="333333"/>
                <w:szCs w:val="21"/>
              </w:rPr>
              <w:t>De provincie moet de begroting nog analyseren. Zij geeft pas een oordeel als u de begroting heeft vastgesteld. Om onder de milde vorm van toezicht te komen is het van belang dat de benodigde besparingen worden gerealiseerd en er sprake is van een structureel sluitende meerjarenbegroting.</w:t>
            </w:r>
          </w:p>
          <w:p w:rsidR="00E25B06" w:rsidRDefault="00E75068">
            <w:pPr>
              <w:pStyle w:val="Plattetekst"/>
              <w:numPr>
                <w:ilvl w:val="0"/>
                <w:numId w:val="4"/>
              </w:numPr>
              <w:tabs>
                <w:tab w:val="left" w:pos="0"/>
              </w:tabs>
              <w:spacing w:after="0"/>
              <w:ind w:left="633"/>
              <w:rPr>
                <w:rFonts w:cs="Arial"/>
                <w:color w:val="333333"/>
                <w:szCs w:val="21"/>
              </w:rPr>
            </w:pPr>
            <w:r>
              <w:rPr>
                <w:rFonts w:cs="Arial"/>
                <w:color w:val="333333"/>
                <w:szCs w:val="21"/>
              </w:rPr>
              <w:t xml:space="preserve">Het sluitende meerjarenperspectief wordt gerealiseerd zonder gebruik te maken van een regel van de toezichthouders in Nederland. Zij staan toe dat in de meerjarenraming rekening wordt gehouden met een inkomst van 75% van het bedrag dat in 2022 voor de jeugdzorg wordt toegevoegd aan de algemene uitkering. Wij hebben afgezien van het gebruik van deze regel omdat de inkomst nog niet zeker is. We houden daarmee vast aan onze stelregel dat we uitgaan van wat bekend is. Deze verwachte ontwikkeling maakt het ook mogelijk om vanaf de volgende </w:t>
            </w:r>
            <w:r w:rsidR="004C0FC1">
              <w:rPr>
                <w:rFonts w:cs="Arial"/>
                <w:color w:val="333333"/>
                <w:szCs w:val="21"/>
              </w:rPr>
              <w:t>raads</w:t>
            </w:r>
            <w:r>
              <w:rPr>
                <w:rFonts w:cs="Arial"/>
                <w:color w:val="333333"/>
                <w:szCs w:val="21"/>
              </w:rPr>
              <w:t>periode de afspra</w:t>
            </w:r>
            <w:r w:rsidR="004E6EBA">
              <w:rPr>
                <w:rFonts w:cs="Arial"/>
                <w:color w:val="333333"/>
                <w:szCs w:val="21"/>
              </w:rPr>
              <w:t>a</w:t>
            </w:r>
            <w:r>
              <w:rPr>
                <w:rFonts w:cs="Arial"/>
                <w:color w:val="333333"/>
                <w:szCs w:val="21"/>
              </w:rPr>
              <w:t>k</w:t>
            </w:r>
            <w:r w:rsidR="004E6EBA">
              <w:rPr>
                <w:rFonts w:cs="Arial"/>
                <w:color w:val="333333"/>
                <w:szCs w:val="21"/>
              </w:rPr>
              <w:t xml:space="preserve"> dat nieuwe taken in de zorg uitgevoerd moeten worden met nieuw geld </w:t>
            </w:r>
            <w:r>
              <w:rPr>
                <w:rFonts w:cs="Arial"/>
                <w:color w:val="333333"/>
                <w:szCs w:val="21"/>
              </w:rPr>
              <w:t>los te laten en zorg als integraal onderdeel van de begroting te zien.</w:t>
            </w:r>
          </w:p>
        </w:tc>
      </w:tr>
    </w:tbl>
    <w:p w:rsidR="00E25B06" w:rsidRDefault="00E25B06">
      <w:pPr>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b/>
                <w:szCs w:val="21"/>
              </w:rPr>
            </w:pPr>
            <w:r>
              <w:rPr>
                <w:rFonts w:cs="Arial"/>
                <w:b/>
                <w:szCs w:val="21"/>
              </w:rPr>
              <w:t>Financiën</w:t>
            </w:r>
          </w:p>
          <w:p w:rsidR="00E25B06" w:rsidRDefault="00E75068">
            <w:pPr>
              <w:ind w:left="57"/>
              <w:rPr>
                <w:rFonts w:cs="Arial"/>
                <w:color w:val="333333"/>
                <w:szCs w:val="21"/>
              </w:rPr>
            </w:pPr>
            <w:r>
              <w:rPr>
                <w:rFonts w:cs="Arial"/>
                <w:color w:val="333333"/>
                <w:szCs w:val="21"/>
              </w:rPr>
              <w:t xml:space="preserve">De begroting 2022 sluit na de 1e begrotingswijziging met een positief saldo van € </w:t>
            </w:r>
            <w:r w:rsidR="00961FF1">
              <w:rPr>
                <w:rFonts w:cs="Arial"/>
                <w:color w:val="333333"/>
                <w:szCs w:val="21"/>
              </w:rPr>
              <w:t>3.3</w:t>
            </w:r>
            <w:r w:rsidR="00C97FA2">
              <w:rPr>
                <w:rFonts w:cs="Arial"/>
                <w:color w:val="333333"/>
                <w:szCs w:val="21"/>
              </w:rPr>
              <w:t>19</w:t>
            </w:r>
            <w:r>
              <w:rPr>
                <w:rFonts w:cs="Arial"/>
                <w:color w:val="333333"/>
                <w:szCs w:val="21"/>
              </w:rPr>
              <w:t>.000. Dit is beter dan verwacht bij de perspectiefnota. De belangrijkste oorzaak hiervoor is de stijging van de algemene uitkering. De stijging is het gevolg van stijgende rijksuitgaven</w:t>
            </w:r>
            <w:r w:rsidR="004E6EBA">
              <w:rPr>
                <w:rFonts w:cs="Arial"/>
                <w:color w:val="333333"/>
                <w:szCs w:val="21"/>
              </w:rPr>
              <w:t>,</w:t>
            </w:r>
            <w:r>
              <w:rPr>
                <w:rFonts w:cs="Arial"/>
                <w:color w:val="333333"/>
                <w:szCs w:val="21"/>
              </w:rPr>
              <w:t xml:space="preserve"> het schrappen van de opschalingskorting voor het jaar 2022</w:t>
            </w:r>
            <w:r w:rsidR="004E6EBA">
              <w:rPr>
                <w:rFonts w:cs="Arial"/>
                <w:color w:val="333333"/>
                <w:szCs w:val="21"/>
              </w:rPr>
              <w:t xml:space="preserve"> en de extra bijdrage voor de jeugdzorg</w:t>
            </w:r>
            <w:r>
              <w:rPr>
                <w:rFonts w:cs="Arial"/>
                <w:color w:val="333333"/>
                <w:szCs w:val="21"/>
              </w:rPr>
              <w:t>.</w:t>
            </w:r>
          </w:p>
        </w:tc>
      </w:tr>
    </w:tbl>
    <w:p w:rsidR="00E25B06" w:rsidRDefault="00E25B06">
      <w:pPr>
        <w:rPr>
          <w:rFonts w:cs="Arial"/>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rPr>
                <w:rFonts w:cs="Arial"/>
                <w:b/>
                <w:szCs w:val="21"/>
              </w:rPr>
            </w:pPr>
            <w:r>
              <w:rPr>
                <w:rFonts w:cs="Arial"/>
                <w:b/>
                <w:szCs w:val="21"/>
              </w:rPr>
              <w:t>VN verdrag rechten van mensen met een beperking</w:t>
            </w:r>
          </w:p>
          <w:p w:rsidR="00E25B06" w:rsidRDefault="00E75068">
            <w:pPr>
              <w:rPr>
                <w:rFonts w:cs="Arial"/>
                <w:szCs w:val="21"/>
              </w:rPr>
            </w:pPr>
            <w:r>
              <w:rPr>
                <w:rFonts w:cs="Arial"/>
                <w:szCs w:val="21"/>
              </w:rPr>
              <w:t>Niet van toepassing.</w:t>
            </w:r>
          </w:p>
        </w:tc>
      </w:tr>
    </w:tbl>
    <w:p w:rsidR="00E25B06" w:rsidRDefault="00E25B06">
      <w:pPr>
        <w:ind w:right="-1407"/>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b/>
                <w:szCs w:val="21"/>
              </w:rPr>
            </w:pPr>
            <w:r>
              <w:rPr>
                <w:rFonts w:cs="Arial"/>
                <w:b/>
                <w:szCs w:val="21"/>
              </w:rPr>
              <w:t>Communicatie</w:t>
            </w:r>
          </w:p>
          <w:p w:rsidR="00E25B06" w:rsidRDefault="00E75068">
            <w:pPr>
              <w:ind w:left="57"/>
              <w:rPr>
                <w:rFonts w:cs="Arial"/>
                <w:szCs w:val="21"/>
              </w:rPr>
            </w:pPr>
            <w:r>
              <w:rPr>
                <w:rFonts w:cs="Arial"/>
                <w:szCs w:val="21"/>
              </w:rPr>
              <w:t>De begroting is via de website van de gemeente en de begrotingsapp beschikbaar voor iedereen. Bovendien is er een persbericht gemaakt.</w:t>
            </w:r>
          </w:p>
        </w:tc>
      </w:tr>
    </w:tbl>
    <w:p w:rsidR="00E25B06" w:rsidRDefault="00E25B06">
      <w:pPr>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b/>
                <w:szCs w:val="21"/>
              </w:rPr>
            </w:pPr>
            <w:r>
              <w:rPr>
                <w:rFonts w:cs="Arial"/>
                <w:b/>
                <w:szCs w:val="21"/>
              </w:rPr>
              <w:t>Initiatief, participatie en rol gemeente</w:t>
            </w:r>
          </w:p>
          <w:p w:rsidR="00E25B06" w:rsidRDefault="00E75068">
            <w:pPr>
              <w:ind w:left="57"/>
              <w:rPr>
                <w:rFonts w:cs="Arial"/>
                <w:color w:val="333333"/>
                <w:szCs w:val="21"/>
              </w:rPr>
            </w:pPr>
            <w:r>
              <w:rPr>
                <w:rFonts w:cs="Arial"/>
                <w:color w:val="333333"/>
                <w:szCs w:val="21"/>
              </w:rPr>
              <w:t>Het opstellen van de begroting is een verplichting. Het initiatief ligt bij de gemeente.</w:t>
            </w:r>
          </w:p>
        </w:tc>
      </w:tr>
    </w:tbl>
    <w:p w:rsidR="00E25B06" w:rsidRDefault="00E25B06">
      <w:pPr>
        <w:rPr>
          <w:rFonts w:cs="Arial"/>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b/>
                <w:szCs w:val="21"/>
              </w:rPr>
            </w:pPr>
            <w:r>
              <w:rPr>
                <w:rFonts w:cs="Arial"/>
                <w:b/>
                <w:szCs w:val="21"/>
              </w:rPr>
              <w:t>Planning en evaluatie</w:t>
            </w:r>
          </w:p>
          <w:p w:rsidR="00E25B06" w:rsidRDefault="00E75068">
            <w:pPr>
              <w:ind w:left="57"/>
            </w:pPr>
            <w:r>
              <w:t>Deze begroting is het uitvoeringsplan voor 2022.</w:t>
            </w:r>
          </w:p>
          <w:p w:rsidR="00E25B06" w:rsidRDefault="00E75068">
            <w:pPr>
              <w:ind w:left="57"/>
            </w:pPr>
            <w:r>
              <w:t xml:space="preserve">In de </w:t>
            </w:r>
            <w:proofErr w:type="spellStart"/>
            <w:r>
              <w:t>bestuursrapportage</w:t>
            </w:r>
            <w:proofErr w:type="spellEnd"/>
            <w:r>
              <w:t xml:space="preserve"> melden we u de stand van zaken van de programma’s en de financiën.</w:t>
            </w:r>
          </w:p>
          <w:p w:rsidR="00E25B06" w:rsidRDefault="00E75068">
            <w:pPr>
              <w:ind w:left="57"/>
            </w:pPr>
            <w:r>
              <w:t>Het begrotingsjaar 2022 wordt afgerond met een jaarrekening. Hierin staat een verantwoording op doelen, activiteiten, planning en geld. De jaarrekening 2022 leggen we in juni 2023 aan u voor.</w:t>
            </w:r>
          </w:p>
        </w:tc>
      </w:tr>
    </w:tbl>
    <w:p w:rsidR="00E25B06" w:rsidRDefault="00E25B06">
      <w:pPr>
        <w:rPr>
          <w:rFonts w:eastAsia="Arial" w:cs="Arial"/>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pPr>
            <w:r>
              <w:rPr>
                <w:rFonts w:cs="Arial"/>
                <w:b/>
                <w:bCs/>
                <w:color w:val="333333"/>
                <w:szCs w:val="21"/>
              </w:rPr>
              <w:t>Alternatieven</w:t>
            </w:r>
          </w:p>
        </w:tc>
      </w:tr>
    </w:tbl>
    <w:p w:rsidR="00E25B06" w:rsidRDefault="00E25B06">
      <w:pPr>
        <w:rPr>
          <w:rFonts w:cs="Arial"/>
          <w:szCs w:val="21"/>
        </w:rPr>
      </w:pPr>
    </w:p>
    <w:p w:rsidR="00E25B06" w:rsidRDefault="00E25B06">
      <w:pPr>
        <w:rPr>
          <w:rFonts w:cs="Arial"/>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ind w:left="57"/>
              <w:rPr>
                <w:rFonts w:cs="Arial"/>
                <w:szCs w:val="21"/>
              </w:rPr>
            </w:pPr>
            <w:r>
              <w:rPr>
                <w:rFonts w:cs="Arial"/>
                <w:szCs w:val="21"/>
              </w:rPr>
              <w:t>Burgemeester en wethouders van Berkelland,</w:t>
            </w:r>
          </w:p>
          <w:p w:rsidR="00E25B06" w:rsidRDefault="00E75068">
            <w:pPr>
              <w:ind w:left="57"/>
              <w:rPr>
                <w:rFonts w:cs="Arial"/>
                <w:szCs w:val="21"/>
              </w:rPr>
            </w:pPr>
            <w:r>
              <w:rPr>
                <w:rFonts w:cs="Arial"/>
                <w:szCs w:val="21"/>
              </w:rPr>
              <w:t>de secretaris,</w:t>
            </w:r>
            <w:r>
              <w:rPr>
                <w:rFonts w:cs="Arial"/>
                <w:szCs w:val="21"/>
              </w:rPr>
              <w:tab/>
            </w:r>
            <w:r>
              <w:rPr>
                <w:rFonts w:cs="Arial"/>
                <w:szCs w:val="21"/>
              </w:rPr>
              <w:tab/>
              <w:t xml:space="preserve">de burgemeester, </w:t>
            </w:r>
          </w:p>
          <w:p w:rsidR="00E25B06" w:rsidRDefault="00E25B06">
            <w:pPr>
              <w:ind w:left="57"/>
              <w:rPr>
                <w:rFonts w:cs="Arial"/>
                <w:szCs w:val="21"/>
              </w:rPr>
            </w:pPr>
          </w:p>
          <w:p w:rsidR="00E25B06" w:rsidRDefault="00E25B06">
            <w:pPr>
              <w:ind w:left="57"/>
              <w:rPr>
                <w:rFonts w:cs="Arial"/>
                <w:szCs w:val="21"/>
              </w:rPr>
            </w:pPr>
          </w:p>
          <w:p w:rsidR="00E25B06" w:rsidRDefault="00E75068">
            <w:pPr>
              <w:ind w:left="57"/>
            </w:pPr>
            <w:r>
              <w:rPr>
                <w:rFonts w:cs="Arial"/>
                <w:color w:val="333333"/>
                <w:szCs w:val="21"/>
              </w:rPr>
              <w:t xml:space="preserve">M.N.J. Broers.         </w:t>
            </w:r>
            <w:r>
              <w:rPr>
                <w:rFonts w:cs="Arial"/>
                <w:color w:val="333333"/>
                <w:szCs w:val="21"/>
              </w:rPr>
              <w:tab/>
              <w:t>drs. J.H.A. van Oostrum.</w:t>
            </w:r>
          </w:p>
          <w:p w:rsidR="00E25B06" w:rsidRDefault="00E25B06">
            <w:pPr>
              <w:ind w:left="57"/>
              <w:rPr>
                <w:rFonts w:cs="Arial"/>
                <w:color w:val="333333"/>
                <w:szCs w:val="21"/>
              </w:rPr>
            </w:pPr>
          </w:p>
        </w:tc>
      </w:tr>
    </w:tbl>
    <w:p w:rsidR="00E25B06" w:rsidRDefault="00E25B06">
      <w:pPr>
        <w:rPr>
          <w:rFonts w:cs="Arial"/>
          <w:color w:val="333333"/>
          <w:szCs w:val="21"/>
        </w:rPr>
      </w:pPr>
    </w:p>
    <w:p w:rsidR="00E25B06" w:rsidRDefault="00E25B06">
      <w:pPr>
        <w:rPr>
          <w:rFonts w:cs="Arial"/>
          <w:b/>
          <w:bCs/>
          <w:color w:val="333333"/>
          <w:szCs w:val="21"/>
        </w:rPr>
      </w:pPr>
    </w:p>
    <w:p w:rsidR="00E25B06" w:rsidRDefault="00E25B06">
      <w:pPr>
        <w:rPr>
          <w:rFonts w:cs="Arial"/>
          <w:color w:val="333333"/>
          <w:szCs w:val="21"/>
        </w:rPr>
      </w:pPr>
    </w:p>
    <w:p w:rsidR="00E25B06" w:rsidRDefault="00E75068">
      <w:pPr>
        <w:rPr>
          <w:rFonts w:cs="Arial"/>
          <w:color w:val="333333"/>
          <w:szCs w:val="21"/>
        </w:rPr>
      </w:pPr>
      <w:r>
        <w:br w:type="page"/>
      </w: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02-11-2021</w:t>
            </w:r>
          </w:p>
          <w:p w:rsidR="00E25B06" w:rsidRDefault="00E25B06">
            <w:pPr>
              <w:ind w:left="57"/>
              <w:rPr>
                <w:rFonts w:cs="Arial"/>
                <w:szCs w:val="21"/>
              </w:rPr>
            </w:pPr>
          </w:p>
          <w:p w:rsidR="00E25B06" w:rsidRDefault="00E75068">
            <w:pPr>
              <w:tabs>
                <w:tab w:val="left" w:pos="720"/>
                <w:tab w:val="left" w:pos="1440"/>
                <w:tab w:val="left" w:pos="2160"/>
                <w:tab w:val="left" w:pos="2880"/>
                <w:tab w:val="left" w:pos="3330"/>
              </w:tabs>
              <w:ind w:left="57"/>
              <w:rPr>
                <w:rFonts w:cs="Arial"/>
                <w:szCs w:val="21"/>
              </w:rPr>
            </w:pPr>
            <w:r>
              <w:rPr>
                <w:rFonts w:cs="Arial"/>
                <w:szCs w:val="21"/>
              </w:rPr>
              <w:tab/>
            </w:r>
          </w:p>
          <w:p w:rsidR="00E25B06" w:rsidRDefault="00E25B06">
            <w:pPr>
              <w:tabs>
                <w:tab w:val="left" w:pos="720"/>
                <w:tab w:val="left" w:pos="1440"/>
                <w:tab w:val="left" w:pos="2160"/>
                <w:tab w:val="left" w:pos="2880"/>
                <w:tab w:val="left" w:pos="3330"/>
              </w:tabs>
              <w:ind w:left="57"/>
              <w:rPr>
                <w:rFonts w:cs="Arial"/>
                <w:szCs w:val="21"/>
              </w:rPr>
            </w:pPr>
          </w:p>
          <w:p w:rsidR="00E25B06" w:rsidRDefault="00E25B06">
            <w:pPr>
              <w:tabs>
                <w:tab w:val="left" w:pos="720"/>
                <w:tab w:val="left" w:pos="1440"/>
                <w:tab w:val="left" w:pos="2160"/>
                <w:tab w:val="left" w:pos="2880"/>
                <w:tab w:val="left" w:pos="3330"/>
              </w:tabs>
              <w:ind w:left="57"/>
              <w:rPr>
                <w:rFonts w:cs="Arial"/>
                <w:szCs w:val="21"/>
              </w:rPr>
            </w:pPr>
          </w:p>
          <w:p w:rsidR="00E25B06" w:rsidRDefault="00E25B06">
            <w:pPr>
              <w:tabs>
                <w:tab w:val="left" w:pos="720"/>
                <w:tab w:val="left" w:pos="1440"/>
                <w:tab w:val="left" w:pos="2160"/>
                <w:tab w:val="left" w:pos="2880"/>
                <w:tab w:val="left" w:pos="3330"/>
              </w:tabs>
              <w:ind w:left="57"/>
              <w:rPr>
                <w:rFonts w:cs="Arial"/>
                <w:szCs w:val="21"/>
              </w:rPr>
            </w:pPr>
          </w:p>
          <w:p w:rsidR="00E25B06" w:rsidRDefault="00E25B06">
            <w:pPr>
              <w:tabs>
                <w:tab w:val="left" w:pos="720"/>
                <w:tab w:val="left" w:pos="1440"/>
                <w:tab w:val="left" w:pos="2160"/>
                <w:tab w:val="left" w:pos="2880"/>
                <w:tab w:val="left" w:pos="3330"/>
              </w:tabs>
              <w:ind w:left="57"/>
              <w:rPr>
                <w:rFonts w:cs="Arial"/>
                <w:szCs w:val="21"/>
              </w:rPr>
            </w:pPr>
          </w:p>
          <w:p w:rsidR="00E25B06" w:rsidRDefault="00E75068">
            <w:pPr>
              <w:ind w:left="57"/>
              <w:outlineLvl w:val="0"/>
              <w:rPr>
                <w:rFonts w:cs="Arial"/>
                <w:szCs w:val="21"/>
              </w:rPr>
            </w:pPr>
            <w:r>
              <w:rPr>
                <w:rFonts w:cs="Arial"/>
                <w:szCs w:val="21"/>
              </w:rPr>
              <w:t>De raad van de gemeente Berkelland;</w:t>
            </w:r>
          </w:p>
          <w:p w:rsidR="00E25B06" w:rsidRDefault="00E25B06">
            <w:pPr>
              <w:ind w:left="57"/>
              <w:rPr>
                <w:rFonts w:cs="Arial"/>
                <w:szCs w:val="21"/>
              </w:rPr>
            </w:pPr>
          </w:p>
          <w:p w:rsidR="00E25B06" w:rsidRDefault="00E75068">
            <w:pPr>
              <w:ind w:left="57"/>
            </w:pPr>
            <w:r>
              <w:rPr>
                <w:rFonts w:cs="Arial"/>
                <w:szCs w:val="21"/>
              </w:rPr>
              <w:t xml:space="preserve">gelezen het voorstel van burgemeester en wethouders van </w:t>
            </w:r>
            <w:r>
              <w:rPr>
                <w:rFonts w:cs="Arial"/>
                <w:color w:val="333333"/>
                <w:szCs w:val="21"/>
              </w:rPr>
              <w:t>01-10-2021</w:t>
            </w:r>
            <w:r>
              <w:rPr>
                <w:rFonts w:cs="Arial"/>
                <w:szCs w:val="21"/>
              </w:rPr>
              <w:t xml:space="preserve">; </w:t>
            </w:r>
          </w:p>
          <w:p w:rsidR="00E25B06" w:rsidRDefault="00E25B06">
            <w:pPr>
              <w:ind w:left="57"/>
              <w:rPr>
                <w:rFonts w:cs="Arial"/>
                <w:szCs w:val="21"/>
              </w:rPr>
            </w:pPr>
          </w:p>
          <w:p w:rsidR="00E25B06" w:rsidRDefault="00E25B06">
            <w:pPr>
              <w:ind w:left="57"/>
              <w:rPr>
                <w:rFonts w:cs="Arial"/>
                <w:szCs w:val="21"/>
              </w:rPr>
            </w:pPr>
          </w:p>
          <w:p w:rsidR="00E25B06" w:rsidRDefault="00E75068">
            <w:pPr>
              <w:ind w:left="57"/>
              <w:jc w:val="center"/>
              <w:rPr>
                <w:rFonts w:cs="Arial"/>
                <w:szCs w:val="21"/>
              </w:rPr>
            </w:pPr>
            <w:r>
              <w:rPr>
                <w:rFonts w:cs="Arial"/>
                <w:szCs w:val="21"/>
              </w:rPr>
              <w:t xml:space="preserve">b e s l u i t : </w:t>
            </w:r>
          </w:p>
          <w:p w:rsidR="00E25B06" w:rsidRDefault="00E25B06">
            <w:pPr>
              <w:ind w:left="57"/>
              <w:rPr>
                <w:rFonts w:cs="Arial"/>
                <w:szCs w:val="21"/>
              </w:rPr>
            </w:pPr>
          </w:p>
          <w:p w:rsidR="00E25B06" w:rsidRDefault="00E25B06">
            <w:pPr>
              <w:ind w:left="57"/>
              <w:rPr>
                <w:rFonts w:cs="Arial"/>
                <w:szCs w:val="21"/>
              </w:rPr>
            </w:pPr>
          </w:p>
          <w:p w:rsidR="00E25B06" w:rsidRDefault="00E25B06">
            <w:pPr>
              <w:ind w:left="57"/>
              <w:rPr>
                <w:rFonts w:cs="Arial"/>
                <w:szCs w:val="21"/>
              </w:rPr>
            </w:pPr>
          </w:p>
          <w:p w:rsidR="001B158C" w:rsidRDefault="001B158C" w:rsidP="001B158C">
            <w:pPr>
              <w:pStyle w:val="Plattetekst"/>
              <w:numPr>
                <w:ilvl w:val="0"/>
                <w:numId w:val="10"/>
              </w:numPr>
              <w:tabs>
                <w:tab w:val="left" w:pos="0"/>
              </w:tabs>
              <w:spacing w:after="0"/>
              <w:rPr>
                <w:rFonts w:cs="Arial"/>
                <w:szCs w:val="21"/>
              </w:rPr>
            </w:pPr>
            <w:r>
              <w:rPr>
                <w:rFonts w:cs="Arial"/>
                <w:szCs w:val="21"/>
              </w:rPr>
              <w:t>De programmabegroting 2022 vaststellen inclusief het gelijk houden van het tarief voor rioolheffing aan het tarief van 2021 en een eenmalige korting van € 35 per aansluiting op de rioolheffing</w:t>
            </w:r>
            <w:r w:rsidR="00C71D97">
              <w:rPr>
                <w:rFonts w:cs="Arial"/>
                <w:szCs w:val="21"/>
              </w:rPr>
              <w:t xml:space="preserve"> voor eigenaren</w:t>
            </w:r>
            <w:r>
              <w:rPr>
                <w:rFonts w:cs="Arial"/>
                <w:szCs w:val="21"/>
              </w:rPr>
              <w:t>.</w:t>
            </w:r>
          </w:p>
          <w:p w:rsidR="001B158C" w:rsidRDefault="001B158C" w:rsidP="001B158C">
            <w:pPr>
              <w:pStyle w:val="Plattetekst"/>
              <w:numPr>
                <w:ilvl w:val="0"/>
                <w:numId w:val="10"/>
              </w:numPr>
              <w:tabs>
                <w:tab w:val="left" w:pos="0"/>
              </w:tabs>
              <w:spacing w:after="0"/>
              <w:rPr>
                <w:rFonts w:cs="Arial"/>
                <w:szCs w:val="21"/>
              </w:rPr>
            </w:pPr>
            <w:r>
              <w:rPr>
                <w:rFonts w:cs="Arial"/>
                <w:szCs w:val="21"/>
              </w:rPr>
              <w:t>De 1e begrotingswijziging 2022 vaststellen inclusief</w:t>
            </w:r>
          </w:p>
          <w:p w:rsidR="001B158C" w:rsidRDefault="001B158C" w:rsidP="001B158C">
            <w:pPr>
              <w:pStyle w:val="Plattetekst"/>
              <w:numPr>
                <w:ilvl w:val="1"/>
                <w:numId w:val="10"/>
              </w:numPr>
              <w:tabs>
                <w:tab w:val="left" w:pos="0"/>
              </w:tabs>
              <w:spacing w:after="0"/>
              <w:rPr>
                <w:rFonts w:cs="Arial"/>
                <w:szCs w:val="21"/>
              </w:rPr>
            </w:pPr>
            <w:r>
              <w:rPr>
                <w:rFonts w:cs="Arial"/>
                <w:szCs w:val="21"/>
              </w:rPr>
              <w:t>het verlagen van de reserve afvalstoffenheffing tot het plafond van € 1 miljoen en een eenmalige korting op de afvalstoffenheffing van ongeveer 20%.</w:t>
            </w:r>
          </w:p>
          <w:p w:rsidR="001B158C" w:rsidRDefault="001B158C" w:rsidP="001B158C">
            <w:pPr>
              <w:pStyle w:val="Plattetekst"/>
              <w:numPr>
                <w:ilvl w:val="1"/>
                <w:numId w:val="10"/>
              </w:numPr>
              <w:tabs>
                <w:tab w:val="left" w:pos="0"/>
              </w:tabs>
              <w:spacing w:after="0"/>
              <w:rPr>
                <w:rFonts w:cs="Arial"/>
                <w:szCs w:val="21"/>
              </w:rPr>
            </w:pPr>
            <w:r>
              <w:rPr>
                <w:rFonts w:cs="Arial"/>
                <w:szCs w:val="21"/>
              </w:rPr>
              <w:t>het verlagen van de taakstelling zorg met €1,6 miljoen en</w:t>
            </w:r>
          </w:p>
          <w:p w:rsidR="001B158C" w:rsidRDefault="001B158C" w:rsidP="001B158C">
            <w:pPr>
              <w:pStyle w:val="Plattetekst"/>
              <w:numPr>
                <w:ilvl w:val="1"/>
                <w:numId w:val="10"/>
              </w:numPr>
              <w:tabs>
                <w:tab w:val="left" w:pos="0"/>
              </w:tabs>
              <w:spacing w:after="0"/>
              <w:rPr>
                <w:rFonts w:cs="Arial"/>
                <w:szCs w:val="21"/>
              </w:rPr>
            </w:pPr>
            <w:r>
              <w:rPr>
                <w:rFonts w:cs="Arial"/>
                <w:szCs w:val="21"/>
              </w:rPr>
              <w:t xml:space="preserve">het verhogen van het budget voor compensatie OZB met € 80.000 </w:t>
            </w:r>
            <w:r w:rsidR="004C0FC1">
              <w:rPr>
                <w:rFonts w:cs="Arial"/>
                <w:szCs w:val="21"/>
              </w:rPr>
              <w:t>ten behoeve</w:t>
            </w:r>
            <w:r>
              <w:rPr>
                <w:rFonts w:cs="Arial"/>
                <w:szCs w:val="21"/>
              </w:rPr>
              <w:t xml:space="preserve"> van cultuurverenigingen met een eigen accommodatie.</w:t>
            </w:r>
          </w:p>
          <w:p w:rsidR="00E25B06" w:rsidRDefault="001B158C" w:rsidP="001B158C">
            <w:pPr>
              <w:pStyle w:val="Plattetekst"/>
              <w:numPr>
                <w:ilvl w:val="0"/>
                <w:numId w:val="10"/>
              </w:numPr>
              <w:tabs>
                <w:tab w:val="left" w:pos="0"/>
              </w:tabs>
              <w:spacing w:after="0"/>
              <w:rPr>
                <w:rFonts w:cs="Arial"/>
                <w:szCs w:val="21"/>
              </w:rPr>
            </w:pPr>
            <w:r>
              <w:rPr>
                <w:rFonts w:cs="Arial"/>
                <w:szCs w:val="21"/>
              </w:rPr>
              <w:t xml:space="preserve">Het overschot op de begroting 2022 inclusief 1e wijziging van € </w:t>
            </w:r>
            <w:r w:rsidR="00C97FA2">
              <w:rPr>
                <w:rFonts w:cs="Arial"/>
                <w:szCs w:val="21"/>
              </w:rPr>
              <w:t>3.319</w:t>
            </w:r>
            <w:r>
              <w:rPr>
                <w:rFonts w:cs="Arial"/>
                <w:szCs w:val="21"/>
              </w:rPr>
              <w:t xml:space="preserve">.000 dat ontstaat na de eerste begrotingswijziging voor € 900.000 toevoegen aan de reserve nadelen decentralisatie en voor € </w:t>
            </w:r>
            <w:r w:rsidR="00C97FA2">
              <w:rPr>
                <w:rFonts w:cs="Arial"/>
                <w:szCs w:val="21"/>
              </w:rPr>
              <w:t xml:space="preserve">2.419.000 </w:t>
            </w:r>
            <w:r>
              <w:rPr>
                <w:rFonts w:cs="Arial"/>
                <w:szCs w:val="21"/>
              </w:rPr>
              <w:t>aan de algemene reserve.</w:t>
            </w:r>
          </w:p>
          <w:p w:rsidR="00E25B06" w:rsidRDefault="00E25B06">
            <w:pPr>
              <w:ind w:left="57"/>
              <w:rPr>
                <w:rFonts w:cs="Arial"/>
                <w:szCs w:val="21"/>
              </w:rPr>
            </w:pPr>
          </w:p>
          <w:p w:rsidR="00E25B06" w:rsidRDefault="00E25B06">
            <w:pPr>
              <w:ind w:left="57"/>
              <w:jc w:val="center"/>
              <w:rPr>
                <w:rFonts w:cs="Arial"/>
                <w:szCs w:val="21"/>
              </w:rPr>
            </w:pPr>
          </w:p>
          <w:p w:rsidR="00E25B06" w:rsidRDefault="00E25B06">
            <w:pPr>
              <w:ind w:left="57"/>
              <w:rPr>
                <w:rFonts w:cs="Arial"/>
                <w:szCs w:val="21"/>
              </w:rPr>
            </w:pPr>
          </w:p>
          <w:p w:rsidR="00E25B06" w:rsidRDefault="00E75068">
            <w:pPr>
              <w:ind w:left="57"/>
              <w:outlineLvl w:val="0"/>
            </w:pPr>
            <w:r>
              <w:rPr>
                <w:rFonts w:cs="Arial"/>
                <w:szCs w:val="21"/>
              </w:rPr>
              <w:t xml:space="preserve">Aldus vastgesteld in de raadsvergadering van </w:t>
            </w:r>
            <w:r>
              <w:rPr>
                <w:rFonts w:cs="Arial"/>
                <w:color w:val="333333"/>
                <w:szCs w:val="21"/>
              </w:rPr>
              <w:t>02-11-2021</w:t>
            </w:r>
            <w:r>
              <w:rPr>
                <w:szCs w:val="21"/>
              </w:rPr>
              <w:br/>
            </w:r>
          </w:p>
          <w:p w:rsidR="00E25B06" w:rsidRDefault="00E25B06">
            <w:pPr>
              <w:ind w:left="57"/>
              <w:outlineLvl w:val="0"/>
              <w:rPr>
                <w:rFonts w:cs="Arial"/>
                <w:szCs w:val="21"/>
              </w:rPr>
            </w:pPr>
          </w:p>
          <w:p w:rsidR="00E25B06" w:rsidRDefault="00E75068">
            <w:pPr>
              <w:ind w:left="57"/>
              <w:rPr>
                <w:rFonts w:cs="Arial"/>
                <w:szCs w:val="21"/>
              </w:rPr>
            </w:pPr>
            <w:r>
              <w:rPr>
                <w:rFonts w:cs="Arial"/>
                <w:szCs w:val="21"/>
              </w:rPr>
              <w:t>de griffier,</w:t>
            </w:r>
            <w:r>
              <w:rPr>
                <w:rFonts w:cs="Arial"/>
                <w:szCs w:val="21"/>
              </w:rPr>
              <w:tab/>
            </w:r>
            <w:r>
              <w:rPr>
                <w:rFonts w:cs="Arial"/>
                <w:szCs w:val="21"/>
              </w:rPr>
              <w:tab/>
              <w:t xml:space="preserve">               de voorzitter, </w:t>
            </w:r>
          </w:p>
          <w:p w:rsidR="00E25B06" w:rsidRDefault="00E25B06">
            <w:pPr>
              <w:ind w:left="57"/>
              <w:rPr>
                <w:rFonts w:cs="Arial"/>
                <w:b/>
                <w:color w:val="333333"/>
                <w:szCs w:val="21"/>
              </w:rPr>
            </w:pPr>
          </w:p>
          <w:p w:rsidR="00E25B06" w:rsidRDefault="00E25B06">
            <w:pPr>
              <w:rPr>
                <w:rFonts w:cs="Arial"/>
                <w:b/>
                <w:color w:val="333333"/>
                <w:szCs w:val="21"/>
              </w:rPr>
            </w:pPr>
          </w:p>
        </w:tc>
      </w:tr>
    </w:tbl>
    <w:p w:rsidR="00E25B06" w:rsidRDefault="00E25B06">
      <w:pPr>
        <w:rPr>
          <w:rFonts w:cs="Arial"/>
          <w:szCs w:val="21"/>
        </w:rPr>
      </w:pPr>
    </w:p>
    <w:p w:rsidR="00E25B06" w:rsidRDefault="00E75068">
      <w:pPr>
        <w:rPr>
          <w:rFonts w:cs="Arial"/>
          <w:b/>
          <w:color w:val="333333"/>
          <w:szCs w:val="21"/>
        </w:rPr>
      </w:pPr>
      <w:r>
        <w:br w:type="page"/>
      </w:r>
    </w:p>
    <w:tbl>
      <w:tblPr>
        <w:tblW w:w="9071" w:type="dxa"/>
        <w:tblCellMar>
          <w:left w:w="0" w:type="dxa"/>
          <w:right w:w="0" w:type="dxa"/>
        </w:tblCellMar>
        <w:tblLook w:val="04A0" w:firstRow="1" w:lastRow="0" w:firstColumn="1" w:lastColumn="0" w:noHBand="0" w:noVBand="1"/>
      </w:tblPr>
      <w:tblGrid>
        <w:gridCol w:w="9071"/>
      </w:tblGrid>
      <w:tr w:rsidR="00E25B06">
        <w:tc>
          <w:tcPr>
            <w:tcW w:w="9071" w:type="dxa"/>
            <w:shd w:val="clear" w:color="auto" w:fill="auto"/>
          </w:tcPr>
          <w:p w:rsidR="00E25B06" w:rsidRDefault="00E75068">
            <w:pPr>
              <w:pageBreakBefore/>
              <w:ind w:left="57"/>
            </w:pPr>
            <w:r>
              <w:rPr>
                <w:rFonts w:cs="Arial"/>
                <w:b/>
                <w:szCs w:val="21"/>
              </w:rPr>
              <w:lastRenderedPageBreak/>
              <w:t>Toelichting raadsvoorstel</w:t>
            </w:r>
          </w:p>
          <w:p w:rsidR="00E25B06" w:rsidRDefault="00E25B06">
            <w:pPr>
              <w:ind w:left="57"/>
              <w:rPr>
                <w:rFonts w:cs="Arial"/>
                <w:b/>
                <w:szCs w:val="21"/>
              </w:rPr>
            </w:pPr>
          </w:p>
          <w:p w:rsidR="00E25B06" w:rsidRDefault="00E75068">
            <w:pPr>
              <w:ind w:left="57"/>
            </w:pPr>
            <w:r>
              <w:rPr>
                <w:rFonts w:cs="Arial"/>
                <w:b/>
                <w:szCs w:val="21"/>
              </w:rPr>
              <w:t>Onderwerp</w:t>
            </w:r>
            <w:r>
              <w:rPr>
                <w:rFonts w:cs="Arial"/>
                <w:szCs w:val="21"/>
              </w:rPr>
              <w:tab/>
              <w:t>:</w:t>
            </w:r>
            <w:r>
              <w:rPr>
                <w:rFonts w:cs="Arial"/>
                <w:szCs w:val="21"/>
              </w:rPr>
              <w:tab/>
            </w:r>
            <w:r>
              <w:rPr>
                <w:rFonts w:cs="Arial"/>
                <w:color w:val="333333"/>
                <w:szCs w:val="21"/>
              </w:rPr>
              <w:t>Begroting 2022 gemeente Berkelland en de 1e Begrotingswijziging 2022</w:t>
            </w:r>
          </w:p>
          <w:p w:rsidR="00E25B06" w:rsidRDefault="00E25B06">
            <w:pPr>
              <w:ind w:left="57"/>
              <w:rPr>
                <w:rFonts w:cs="Arial"/>
                <w:szCs w:val="21"/>
              </w:rPr>
            </w:pPr>
          </w:p>
          <w:p w:rsidR="00E25B06" w:rsidRDefault="00E75068">
            <w:pPr>
              <w:ind w:left="57"/>
              <w:rPr>
                <w:rFonts w:cs="Arial"/>
                <w:color w:val="333333"/>
                <w:szCs w:val="21"/>
              </w:rPr>
            </w:pPr>
            <w:r>
              <w:rPr>
                <w:rFonts w:cs="Arial"/>
                <w:color w:val="333333"/>
                <w:szCs w:val="21"/>
              </w:rPr>
              <w:t>De begroting 2022 sluit na de eerste wijziging met een voordeel van € </w:t>
            </w:r>
            <w:r w:rsidR="00C97FA2">
              <w:rPr>
                <w:rFonts w:cs="Arial"/>
                <w:color w:val="333333"/>
                <w:szCs w:val="21"/>
              </w:rPr>
              <w:t>3.319.</w:t>
            </w:r>
            <w:r>
              <w:rPr>
                <w:rFonts w:cs="Arial"/>
                <w:color w:val="333333"/>
                <w:szCs w:val="21"/>
              </w:rPr>
              <w:t>000.</w:t>
            </w:r>
          </w:p>
          <w:p w:rsidR="00E25B06" w:rsidRDefault="001B158C">
            <w:pPr>
              <w:ind w:left="57"/>
              <w:rPr>
                <w:rFonts w:cs="Arial"/>
                <w:color w:val="333333"/>
                <w:szCs w:val="21"/>
              </w:rPr>
            </w:pPr>
            <w:r>
              <w:rPr>
                <w:rFonts w:cs="Arial"/>
                <w:color w:val="333333"/>
                <w:szCs w:val="21"/>
              </w:rPr>
              <w:t>In onderstaande tabel kunt</w:t>
            </w:r>
            <w:r w:rsidR="00E75068">
              <w:rPr>
                <w:rFonts w:cs="Arial"/>
                <w:color w:val="333333"/>
                <w:szCs w:val="21"/>
              </w:rPr>
              <w:t xml:space="preserve"> u zien hoe we van de perspectiefnota naar de begroting na eerste wijziging komen.</w:t>
            </w:r>
          </w:p>
          <w:p w:rsidR="001B158C" w:rsidRDefault="001B158C">
            <w:pPr>
              <w:ind w:left="57"/>
              <w:rPr>
                <w:rFonts w:cs="Arial"/>
                <w:color w:val="333333"/>
                <w:szCs w:val="21"/>
              </w:rPr>
            </w:pPr>
          </w:p>
          <w:tbl>
            <w:tblPr>
              <w:tblW w:w="7540" w:type="dxa"/>
              <w:tblCellMar>
                <w:left w:w="70" w:type="dxa"/>
                <w:right w:w="70" w:type="dxa"/>
              </w:tblCellMar>
              <w:tblLook w:val="04A0" w:firstRow="1" w:lastRow="0" w:firstColumn="1" w:lastColumn="0" w:noHBand="0" w:noVBand="1"/>
            </w:tblPr>
            <w:tblGrid>
              <w:gridCol w:w="4480"/>
              <w:gridCol w:w="720"/>
              <w:gridCol w:w="740"/>
              <w:gridCol w:w="800"/>
              <w:gridCol w:w="800"/>
            </w:tblGrid>
            <w:tr w:rsidR="001B158C" w:rsidRPr="001B158C" w:rsidTr="001B158C">
              <w:trPr>
                <w:trHeight w:val="330"/>
              </w:trPr>
              <w:tc>
                <w:tcPr>
                  <w:tcW w:w="4480" w:type="dxa"/>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textAlignment w:val="auto"/>
                    <w:rPr>
                      <w:rFonts w:ascii="Calibri" w:eastAsia="Times New Roman" w:hAnsi="Calibri" w:cs="Times New Roman"/>
                      <w:b/>
                      <w:bCs/>
                      <w:color w:val="FFFFFF"/>
                      <w:kern w:val="0"/>
                      <w:sz w:val="24"/>
                      <w:lang w:eastAsia="nl-NL" w:bidi="ar-SA"/>
                    </w:rPr>
                  </w:pPr>
                  <w:r w:rsidRPr="001B158C">
                    <w:rPr>
                      <w:rFonts w:ascii="Calibri" w:eastAsia="Times New Roman" w:hAnsi="Calibri" w:cs="Times New Roman"/>
                      <w:b/>
                      <w:bCs/>
                      <w:color w:val="FFFFFF"/>
                      <w:kern w:val="0"/>
                      <w:sz w:val="24"/>
                      <w:lang w:eastAsia="nl-NL" w:bidi="ar-SA"/>
                    </w:rPr>
                    <w:t>Bedragen x € 1.000</w:t>
                  </w:r>
                </w:p>
              </w:tc>
              <w:tc>
                <w:tcPr>
                  <w:tcW w:w="720" w:type="dxa"/>
                  <w:tcBorders>
                    <w:top w:val="single" w:sz="8" w:space="0" w:color="auto"/>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ascii="Calibri" w:eastAsia="Times New Roman" w:hAnsi="Calibri" w:cs="Times New Roman"/>
                      <w:b/>
                      <w:bCs/>
                      <w:color w:val="FFFFFF"/>
                      <w:kern w:val="0"/>
                      <w:sz w:val="24"/>
                      <w:lang w:eastAsia="nl-NL" w:bidi="ar-SA"/>
                    </w:rPr>
                  </w:pPr>
                  <w:r w:rsidRPr="001B158C">
                    <w:rPr>
                      <w:rFonts w:ascii="Calibri" w:eastAsia="Times New Roman" w:hAnsi="Calibri" w:cs="Times New Roman"/>
                      <w:b/>
                      <w:bCs/>
                      <w:color w:val="FFFFFF"/>
                      <w:kern w:val="0"/>
                      <w:sz w:val="24"/>
                      <w:lang w:eastAsia="nl-NL" w:bidi="ar-SA"/>
                    </w:rPr>
                    <w:t>2022</w:t>
                  </w:r>
                </w:p>
              </w:tc>
              <w:tc>
                <w:tcPr>
                  <w:tcW w:w="740" w:type="dxa"/>
                  <w:tcBorders>
                    <w:top w:val="single" w:sz="8" w:space="0" w:color="auto"/>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ascii="Calibri" w:eastAsia="Times New Roman" w:hAnsi="Calibri" w:cs="Times New Roman"/>
                      <w:b/>
                      <w:bCs/>
                      <w:color w:val="FFFFFF"/>
                      <w:kern w:val="0"/>
                      <w:sz w:val="24"/>
                      <w:lang w:eastAsia="nl-NL" w:bidi="ar-SA"/>
                    </w:rPr>
                  </w:pPr>
                  <w:r w:rsidRPr="001B158C">
                    <w:rPr>
                      <w:rFonts w:ascii="Calibri" w:eastAsia="Times New Roman" w:hAnsi="Calibri" w:cs="Times New Roman"/>
                      <w:b/>
                      <w:bCs/>
                      <w:color w:val="FFFFFF"/>
                      <w:kern w:val="0"/>
                      <w:sz w:val="24"/>
                      <w:lang w:eastAsia="nl-NL" w:bidi="ar-SA"/>
                    </w:rPr>
                    <w:t>2023</w:t>
                  </w:r>
                </w:p>
              </w:tc>
              <w:tc>
                <w:tcPr>
                  <w:tcW w:w="800" w:type="dxa"/>
                  <w:tcBorders>
                    <w:top w:val="single" w:sz="8" w:space="0" w:color="auto"/>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ascii="Calibri" w:eastAsia="Times New Roman" w:hAnsi="Calibri" w:cs="Times New Roman"/>
                      <w:b/>
                      <w:bCs/>
                      <w:color w:val="FFFFFF"/>
                      <w:kern w:val="0"/>
                      <w:sz w:val="24"/>
                      <w:lang w:eastAsia="nl-NL" w:bidi="ar-SA"/>
                    </w:rPr>
                  </w:pPr>
                  <w:r w:rsidRPr="001B158C">
                    <w:rPr>
                      <w:rFonts w:ascii="Calibri" w:eastAsia="Times New Roman" w:hAnsi="Calibri" w:cs="Times New Roman"/>
                      <w:b/>
                      <w:bCs/>
                      <w:color w:val="FFFFFF"/>
                      <w:kern w:val="0"/>
                      <w:sz w:val="24"/>
                      <w:lang w:eastAsia="nl-NL" w:bidi="ar-SA"/>
                    </w:rPr>
                    <w:t>2024</w:t>
                  </w:r>
                </w:p>
              </w:tc>
              <w:tc>
                <w:tcPr>
                  <w:tcW w:w="800" w:type="dxa"/>
                  <w:tcBorders>
                    <w:top w:val="single" w:sz="8" w:space="0" w:color="auto"/>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ascii="Calibri" w:eastAsia="Times New Roman" w:hAnsi="Calibri" w:cs="Times New Roman"/>
                      <w:b/>
                      <w:bCs/>
                      <w:color w:val="FFFFFF"/>
                      <w:kern w:val="0"/>
                      <w:sz w:val="24"/>
                      <w:lang w:eastAsia="nl-NL" w:bidi="ar-SA"/>
                    </w:rPr>
                  </w:pPr>
                  <w:r w:rsidRPr="001B158C">
                    <w:rPr>
                      <w:rFonts w:ascii="Calibri" w:eastAsia="Times New Roman" w:hAnsi="Calibri" w:cs="Times New Roman"/>
                      <w:b/>
                      <w:bCs/>
                      <w:color w:val="FFFFFF"/>
                      <w:kern w:val="0"/>
                      <w:sz w:val="24"/>
                      <w:lang w:eastAsia="nl-NL" w:bidi="ar-SA"/>
                    </w:rPr>
                    <w:t>2025</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Begroting aangeboden Perspectiefnota</w:t>
                  </w:r>
                </w:p>
              </w:tc>
              <w:tc>
                <w:tcPr>
                  <w:tcW w:w="72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74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80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80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Incidenteel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-339</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-581</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-136</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-195</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287</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423</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Subtotaal aangeboden Perspectiefnota</w:t>
                  </w:r>
                </w:p>
              </w:tc>
              <w:tc>
                <w:tcPr>
                  <w:tcW w:w="72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-339</w:t>
                  </w:r>
                </w:p>
              </w:tc>
              <w:tc>
                <w:tcPr>
                  <w:tcW w:w="74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-776</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151</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423</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Incidenteel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Dekking incidentele investeringen en wensen</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363</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50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15</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Amendement A21-16 Junior raadsadviseur</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-78</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Dekking lasten junior raadsadviseur</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78</w:t>
                  </w:r>
                </w:p>
              </w:tc>
              <w:tc>
                <w:tcPr>
                  <w:tcW w:w="74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80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80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Subtotaal Incidenteel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363</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50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15</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72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74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80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c>
                <w:tcPr>
                  <w:tcW w:w="800" w:type="dxa"/>
                  <w:tcBorders>
                    <w:top w:val="nil"/>
                    <w:left w:val="nil"/>
                    <w:bottom w:val="single" w:sz="8" w:space="0" w:color="auto"/>
                    <w:right w:val="single" w:sz="8" w:space="0" w:color="auto"/>
                  </w:tcBorders>
                  <w:shd w:val="clear" w:color="auto" w:fill="auto"/>
                  <w:noWrap/>
                  <w:hideMark/>
                </w:tcPr>
                <w:p w:rsidR="001B158C" w:rsidRPr="001B158C" w:rsidRDefault="001B158C" w:rsidP="001B158C">
                  <w:pPr>
                    <w:suppressAutoHyphens w:val="0"/>
                    <w:textAlignment w:val="auto"/>
                    <w:rPr>
                      <w:rFonts w:ascii="Calibri" w:eastAsia="Times New Roman" w:hAnsi="Calibri" w:cs="Times New Roman"/>
                      <w:color w:val="000000"/>
                      <w:kern w:val="0"/>
                      <w:sz w:val="20"/>
                      <w:szCs w:val="20"/>
                      <w:lang w:eastAsia="nl-NL" w:bidi="ar-SA"/>
                    </w:rPr>
                  </w:pPr>
                  <w:r w:rsidRPr="001B158C">
                    <w:rPr>
                      <w:rFonts w:ascii="Calibri" w:eastAsia="Times New Roman" w:hAnsi="Calibri" w:cs="Times New Roman"/>
                      <w:color w:val="000000"/>
                      <w:kern w:val="0"/>
                      <w:sz w:val="20"/>
                      <w:szCs w:val="20"/>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Meicirculaire</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455</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-984</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-1.538</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-1.370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Areaaluitbreiding OZB</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Amendement A21-12 Cultuur</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-255</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-255</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Subtotaal 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475</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-964</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-1.773</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-1.605</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Subtotaal begroting incidenteel</w:t>
                  </w:r>
                </w:p>
              </w:tc>
              <w:tc>
                <w:tcPr>
                  <w:tcW w:w="72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24</w:t>
                  </w:r>
                </w:p>
              </w:tc>
              <w:tc>
                <w:tcPr>
                  <w:tcW w:w="74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-531</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-121</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Subtotaal begroting 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475</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-1.159</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-1.486</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-1.182</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Totaal begroting</w:t>
                  </w:r>
                </w:p>
              </w:tc>
              <w:tc>
                <w:tcPr>
                  <w:tcW w:w="72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499</w:t>
                  </w:r>
                </w:p>
              </w:tc>
              <w:tc>
                <w:tcPr>
                  <w:tcW w:w="74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-1.690</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-1.607</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-1.182</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Incidenteel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 </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Subtotaal incidenteel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Algemene uitkering</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4.5</w:t>
                  </w:r>
                  <w:r w:rsidR="00961FF1">
                    <w:rPr>
                      <w:rFonts w:eastAsia="Times New Roman" w:cs="Arial"/>
                      <w:color w:val="000000"/>
                      <w:kern w:val="0"/>
                      <w:szCs w:val="21"/>
                      <w:lang w:eastAsia="nl-NL" w:bidi="ar-SA"/>
                    </w:rPr>
                    <w:t>00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1.1</w:t>
                  </w:r>
                  <w:r w:rsidR="00961FF1">
                    <w:rPr>
                      <w:rFonts w:eastAsia="Times New Roman" w:cs="Arial"/>
                      <w:color w:val="000000"/>
                      <w:kern w:val="0"/>
                      <w:szCs w:val="21"/>
                      <w:lang w:eastAsia="nl-NL" w:bidi="ar-SA"/>
                    </w:rPr>
                    <w:t>11</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w:t>
                  </w:r>
                  <w:r w:rsidR="00961FF1">
                    <w:rPr>
                      <w:rFonts w:eastAsia="Times New Roman" w:cs="Arial"/>
                      <w:color w:val="000000"/>
                      <w:kern w:val="0"/>
                      <w:szCs w:val="21"/>
                      <w:lang w:eastAsia="nl-NL" w:bidi="ar-SA"/>
                    </w:rPr>
                    <w:t>142</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w:t>
                  </w:r>
                  <w:r w:rsidR="00961FF1">
                    <w:rPr>
                      <w:rFonts w:eastAsia="Times New Roman" w:cs="Arial"/>
                      <w:color w:val="000000"/>
                      <w:kern w:val="0"/>
                      <w:szCs w:val="21"/>
                      <w:lang w:eastAsia="nl-NL" w:bidi="ar-SA"/>
                    </w:rPr>
                    <w:t>335</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proofErr w:type="spellStart"/>
                  <w:r w:rsidRPr="001B158C">
                    <w:rPr>
                      <w:rFonts w:eastAsia="Times New Roman" w:cs="Arial"/>
                      <w:color w:val="000000"/>
                      <w:kern w:val="0"/>
                      <w:szCs w:val="21"/>
                      <w:lang w:eastAsia="nl-NL" w:bidi="ar-SA"/>
                    </w:rPr>
                    <w:t>Aframen</w:t>
                  </w:r>
                  <w:proofErr w:type="spellEnd"/>
                  <w:r w:rsidRPr="001B158C">
                    <w:rPr>
                      <w:rFonts w:eastAsia="Times New Roman" w:cs="Arial"/>
                      <w:color w:val="000000"/>
                      <w:kern w:val="0"/>
                      <w:szCs w:val="21"/>
                      <w:lang w:eastAsia="nl-NL" w:bidi="ar-SA"/>
                    </w:rPr>
                    <w:t xml:space="preserve"> stelpost zorg</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-1.600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Motie M21-19 Gelijke behandeling sport/cultuur</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-80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-80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-80</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-80</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Subtotaal 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2.8</w:t>
                  </w:r>
                  <w:r w:rsidR="00961FF1">
                    <w:rPr>
                      <w:rFonts w:eastAsia="Times New Roman" w:cs="Arial"/>
                      <w:i/>
                      <w:iCs/>
                      <w:color w:val="000000"/>
                      <w:kern w:val="0"/>
                      <w:szCs w:val="21"/>
                      <w:lang w:eastAsia="nl-NL" w:bidi="ar-SA"/>
                    </w:rPr>
                    <w:t>20</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1.0</w:t>
                  </w:r>
                  <w:r w:rsidR="00961FF1">
                    <w:rPr>
                      <w:rFonts w:eastAsia="Times New Roman" w:cs="Arial"/>
                      <w:i/>
                      <w:iCs/>
                      <w:color w:val="000000"/>
                      <w:kern w:val="0"/>
                      <w:szCs w:val="21"/>
                      <w:lang w:eastAsia="nl-NL" w:bidi="ar-SA"/>
                    </w:rPr>
                    <w:t>31</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1.</w:t>
                  </w:r>
                  <w:r w:rsidR="00961FF1">
                    <w:rPr>
                      <w:rFonts w:eastAsia="Times New Roman" w:cs="Arial"/>
                      <w:i/>
                      <w:iCs/>
                      <w:color w:val="000000"/>
                      <w:kern w:val="0"/>
                      <w:szCs w:val="21"/>
                      <w:lang w:eastAsia="nl-NL" w:bidi="ar-SA"/>
                    </w:rPr>
                    <w:t>0</w:t>
                  </w:r>
                  <w:r w:rsidR="00C97FA2">
                    <w:rPr>
                      <w:rFonts w:eastAsia="Times New Roman" w:cs="Arial"/>
                      <w:i/>
                      <w:iCs/>
                      <w:color w:val="000000"/>
                      <w:kern w:val="0"/>
                      <w:szCs w:val="21"/>
                      <w:lang w:eastAsia="nl-NL" w:bidi="ar-SA"/>
                    </w:rPr>
                    <w:t>62</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i/>
                      <w:iCs/>
                      <w:color w:val="000000"/>
                      <w:kern w:val="0"/>
                      <w:szCs w:val="21"/>
                      <w:lang w:eastAsia="nl-NL" w:bidi="ar-SA"/>
                    </w:rPr>
                  </w:pPr>
                  <w:r w:rsidRPr="001B158C">
                    <w:rPr>
                      <w:rFonts w:eastAsia="Times New Roman" w:cs="Arial"/>
                      <w:i/>
                      <w:iCs/>
                      <w:color w:val="000000"/>
                      <w:kern w:val="0"/>
                      <w:szCs w:val="21"/>
                      <w:lang w:eastAsia="nl-NL" w:bidi="ar-SA"/>
                    </w:rPr>
                    <w:t>1.</w:t>
                  </w:r>
                  <w:r w:rsidR="00961FF1">
                    <w:rPr>
                      <w:rFonts w:eastAsia="Times New Roman" w:cs="Arial"/>
                      <w:i/>
                      <w:iCs/>
                      <w:color w:val="000000"/>
                      <w:kern w:val="0"/>
                      <w:szCs w:val="21"/>
                      <w:lang w:eastAsia="nl-NL" w:bidi="ar-SA"/>
                    </w:rPr>
                    <w:t>2</w:t>
                  </w:r>
                  <w:r w:rsidR="00C97FA2">
                    <w:rPr>
                      <w:rFonts w:eastAsia="Times New Roman" w:cs="Arial"/>
                      <w:i/>
                      <w:iCs/>
                      <w:color w:val="000000"/>
                      <w:kern w:val="0"/>
                      <w:szCs w:val="21"/>
                      <w:lang w:eastAsia="nl-NL" w:bidi="ar-SA"/>
                    </w:rPr>
                    <w:t>55</w:t>
                  </w:r>
                </w:p>
              </w:tc>
            </w:tr>
            <w:tr w:rsidR="001B158C" w:rsidRPr="001B158C" w:rsidTr="001B158C">
              <w:trPr>
                <w:trHeight w:val="315"/>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 </w:t>
                  </w:r>
                </w:p>
              </w:tc>
            </w:tr>
            <w:tr w:rsidR="001B158C" w:rsidRPr="001B158C" w:rsidTr="001B158C">
              <w:trPr>
                <w:trHeight w:val="330"/>
              </w:trPr>
              <w:tc>
                <w:tcPr>
                  <w:tcW w:w="4480" w:type="dxa"/>
                  <w:tcBorders>
                    <w:top w:val="nil"/>
                    <w:left w:val="single" w:sz="8" w:space="0" w:color="auto"/>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Subtotaal na 1</w:t>
                  </w:r>
                  <w:r w:rsidRPr="001B158C">
                    <w:rPr>
                      <w:rFonts w:eastAsia="Times New Roman" w:cs="Arial"/>
                      <w:color w:val="FFFFFF"/>
                      <w:kern w:val="0"/>
                      <w:szCs w:val="21"/>
                      <w:vertAlign w:val="superscript"/>
                      <w:lang w:eastAsia="nl-NL" w:bidi="ar-SA"/>
                    </w:rPr>
                    <w:t>e</w:t>
                  </w:r>
                  <w:r w:rsidRPr="001B158C">
                    <w:rPr>
                      <w:rFonts w:eastAsia="Times New Roman" w:cs="Arial"/>
                      <w:color w:val="FFFFFF"/>
                      <w:kern w:val="0"/>
                      <w:szCs w:val="21"/>
                      <w:lang w:eastAsia="nl-NL" w:bidi="ar-SA"/>
                    </w:rPr>
                    <w:t xml:space="preserve"> Wijziging incidenteel</w:t>
                  </w:r>
                </w:p>
              </w:tc>
              <w:tc>
                <w:tcPr>
                  <w:tcW w:w="72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24</w:t>
                  </w:r>
                </w:p>
              </w:tc>
              <w:tc>
                <w:tcPr>
                  <w:tcW w:w="74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-531</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-121</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0</w:t>
                  </w:r>
                </w:p>
              </w:tc>
            </w:tr>
            <w:tr w:rsidR="001B158C" w:rsidRPr="001B158C" w:rsidTr="001B158C">
              <w:trPr>
                <w:trHeight w:val="330"/>
              </w:trPr>
              <w:tc>
                <w:tcPr>
                  <w:tcW w:w="4480" w:type="dxa"/>
                  <w:tcBorders>
                    <w:top w:val="nil"/>
                    <w:left w:val="single" w:sz="8" w:space="0" w:color="auto"/>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Subtotaal na 1</w:t>
                  </w:r>
                  <w:r w:rsidRPr="001B158C">
                    <w:rPr>
                      <w:rFonts w:eastAsia="Times New Roman" w:cs="Arial"/>
                      <w:color w:val="000000"/>
                      <w:kern w:val="0"/>
                      <w:szCs w:val="21"/>
                      <w:vertAlign w:val="superscript"/>
                      <w:lang w:eastAsia="nl-NL" w:bidi="ar-SA"/>
                    </w:rPr>
                    <w:t>e</w:t>
                  </w:r>
                  <w:r w:rsidRPr="001B158C">
                    <w:rPr>
                      <w:rFonts w:eastAsia="Times New Roman" w:cs="Arial"/>
                      <w:color w:val="000000"/>
                      <w:kern w:val="0"/>
                      <w:szCs w:val="21"/>
                      <w:lang w:eastAsia="nl-NL" w:bidi="ar-SA"/>
                    </w:rPr>
                    <w:t xml:space="preserve"> wijziging structureel</w:t>
                  </w:r>
                </w:p>
              </w:tc>
              <w:tc>
                <w:tcPr>
                  <w:tcW w:w="72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3.</w:t>
                  </w:r>
                  <w:r w:rsidR="00C97FA2">
                    <w:rPr>
                      <w:rFonts w:eastAsia="Times New Roman" w:cs="Arial"/>
                      <w:color w:val="000000"/>
                      <w:kern w:val="0"/>
                      <w:szCs w:val="21"/>
                      <w:lang w:eastAsia="nl-NL" w:bidi="ar-SA"/>
                    </w:rPr>
                    <w:t>295</w:t>
                  </w:r>
                </w:p>
              </w:tc>
              <w:tc>
                <w:tcPr>
                  <w:tcW w:w="74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w:t>
                  </w:r>
                  <w:r w:rsidR="00961FF1">
                    <w:rPr>
                      <w:rFonts w:eastAsia="Times New Roman" w:cs="Arial"/>
                      <w:color w:val="000000"/>
                      <w:kern w:val="0"/>
                      <w:szCs w:val="21"/>
                      <w:lang w:eastAsia="nl-NL" w:bidi="ar-SA"/>
                    </w:rPr>
                    <w:t>1</w:t>
                  </w:r>
                  <w:r w:rsidR="00C97FA2">
                    <w:rPr>
                      <w:rFonts w:eastAsia="Times New Roman" w:cs="Arial"/>
                      <w:color w:val="000000"/>
                      <w:kern w:val="0"/>
                      <w:szCs w:val="21"/>
                      <w:lang w:eastAsia="nl-NL" w:bidi="ar-SA"/>
                    </w:rPr>
                    <w:t>28</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1B158C" w:rsidP="001B158C">
                  <w:pPr>
                    <w:suppressAutoHyphens w:val="0"/>
                    <w:jc w:val="right"/>
                    <w:textAlignment w:val="auto"/>
                    <w:rPr>
                      <w:rFonts w:eastAsia="Times New Roman" w:cs="Arial"/>
                      <w:color w:val="000000"/>
                      <w:kern w:val="0"/>
                      <w:szCs w:val="21"/>
                      <w:lang w:eastAsia="nl-NL" w:bidi="ar-SA"/>
                    </w:rPr>
                  </w:pPr>
                  <w:r w:rsidRPr="001B158C">
                    <w:rPr>
                      <w:rFonts w:eastAsia="Times New Roman" w:cs="Arial"/>
                      <w:color w:val="000000"/>
                      <w:kern w:val="0"/>
                      <w:szCs w:val="21"/>
                      <w:lang w:eastAsia="nl-NL" w:bidi="ar-SA"/>
                    </w:rPr>
                    <w:t>-</w:t>
                  </w:r>
                  <w:r w:rsidR="00961FF1">
                    <w:rPr>
                      <w:rFonts w:eastAsia="Times New Roman" w:cs="Arial"/>
                      <w:color w:val="000000"/>
                      <w:kern w:val="0"/>
                      <w:szCs w:val="21"/>
                      <w:lang w:eastAsia="nl-NL" w:bidi="ar-SA"/>
                    </w:rPr>
                    <w:t>4</w:t>
                  </w:r>
                  <w:r w:rsidR="00C97FA2">
                    <w:rPr>
                      <w:rFonts w:eastAsia="Times New Roman" w:cs="Arial"/>
                      <w:color w:val="000000"/>
                      <w:kern w:val="0"/>
                      <w:szCs w:val="21"/>
                      <w:lang w:eastAsia="nl-NL" w:bidi="ar-SA"/>
                    </w:rPr>
                    <w:t>24</w:t>
                  </w:r>
                </w:p>
              </w:tc>
              <w:tc>
                <w:tcPr>
                  <w:tcW w:w="800" w:type="dxa"/>
                  <w:tcBorders>
                    <w:top w:val="nil"/>
                    <w:left w:val="nil"/>
                    <w:bottom w:val="single" w:sz="8" w:space="0" w:color="auto"/>
                    <w:right w:val="single" w:sz="8" w:space="0" w:color="auto"/>
                  </w:tcBorders>
                  <w:shd w:val="clear" w:color="auto" w:fill="auto"/>
                  <w:noWrap/>
                  <w:vAlign w:val="center"/>
                  <w:hideMark/>
                </w:tcPr>
                <w:p w:rsidR="001B158C" w:rsidRPr="001B158C" w:rsidRDefault="00C97FA2" w:rsidP="001B158C">
                  <w:pPr>
                    <w:suppressAutoHyphens w:val="0"/>
                    <w:jc w:val="right"/>
                    <w:textAlignment w:val="auto"/>
                    <w:rPr>
                      <w:rFonts w:eastAsia="Times New Roman" w:cs="Arial"/>
                      <w:color w:val="000000"/>
                      <w:kern w:val="0"/>
                      <w:szCs w:val="21"/>
                      <w:lang w:eastAsia="nl-NL" w:bidi="ar-SA"/>
                    </w:rPr>
                  </w:pPr>
                  <w:r>
                    <w:rPr>
                      <w:rFonts w:eastAsia="Times New Roman" w:cs="Arial"/>
                      <w:color w:val="000000"/>
                      <w:kern w:val="0"/>
                      <w:szCs w:val="21"/>
                      <w:lang w:eastAsia="nl-NL" w:bidi="ar-SA"/>
                    </w:rPr>
                    <w:t>73</w:t>
                  </w:r>
                </w:p>
              </w:tc>
            </w:tr>
            <w:tr w:rsidR="001B158C" w:rsidRPr="001B158C" w:rsidTr="001B158C">
              <w:trPr>
                <w:trHeight w:val="330"/>
              </w:trPr>
              <w:tc>
                <w:tcPr>
                  <w:tcW w:w="4480" w:type="dxa"/>
                  <w:tcBorders>
                    <w:top w:val="nil"/>
                    <w:left w:val="single" w:sz="8" w:space="0" w:color="auto"/>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Totaal na 1</w:t>
                  </w:r>
                  <w:r w:rsidRPr="001B158C">
                    <w:rPr>
                      <w:rFonts w:eastAsia="Times New Roman" w:cs="Arial"/>
                      <w:color w:val="FFFFFF"/>
                      <w:kern w:val="0"/>
                      <w:szCs w:val="21"/>
                      <w:vertAlign w:val="superscript"/>
                      <w:lang w:eastAsia="nl-NL" w:bidi="ar-SA"/>
                    </w:rPr>
                    <w:t>e</w:t>
                  </w:r>
                  <w:r w:rsidRPr="001B158C">
                    <w:rPr>
                      <w:rFonts w:eastAsia="Times New Roman" w:cs="Arial"/>
                      <w:color w:val="FFFFFF"/>
                      <w:kern w:val="0"/>
                      <w:szCs w:val="21"/>
                      <w:lang w:eastAsia="nl-NL" w:bidi="ar-SA"/>
                    </w:rPr>
                    <w:t xml:space="preserve"> wijziging</w:t>
                  </w:r>
                </w:p>
              </w:tc>
              <w:tc>
                <w:tcPr>
                  <w:tcW w:w="720" w:type="dxa"/>
                  <w:tcBorders>
                    <w:top w:val="nil"/>
                    <w:left w:val="nil"/>
                    <w:bottom w:val="single" w:sz="8" w:space="0" w:color="auto"/>
                    <w:right w:val="single" w:sz="8" w:space="0" w:color="auto"/>
                  </w:tcBorders>
                  <w:shd w:val="clear" w:color="000000" w:fill="244061"/>
                  <w:noWrap/>
                  <w:vAlign w:val="center"/>
                  <w:hideMark/>
                </w:tcPr>
                <w:p w:rsidR="001B158C" w:rsidRPr="001B158C" w:rsidRDefault="001B158C" w:rsidP="001B158C">
                  <w:pPr>
                    <w:suppressAutoHyphens w:val="0"/>
                    <w:jc w:val="right"/>
                    <w:textAlignment w:val="auto"/>
                    <w:rPr>
                      <w:rFonts w:eastAsia="Times New Roman" w:cs="Arial"/>
                      <w:color w:val="FFFFFF"/>
                      <w:kern w:val="0"/>
                      <w:szCs w:val="21"/>
                      <w:lang w:eastAsia="nl-NL" w:bidi="ar-SA"/>
                    </w:rPr>
                  </w:pPr>
                  <w:r w:rsidRPr="001B158C">
                    <w:rPr>
                      <w:rFonts w:eastAsia="Times New Roman" w:cs="Arial"/>
                      <w:color w:val="FFFFFF"/>
                      <w:kern w:val="0"/>
                      <w:szCs w:val="21"/>
                      <w:lang w:eastAsia="nl-NL" w:bidi="ar-SA"/>
                    </w:rPr>
                    <w:t>3.3</w:t>
                  </w:r>
                  <w:r w:rsidR="00C97FA2">
                    <w:rPr>
                      <w:rFonts w:eastAsia="Times New Roman" w:cs="Arial"/>
                      <w:color w:val="FFFFFF"/>
                      <w:kern w:val="0"/>
                      <w:szCs w:val="21"/>
                      <w:lang w:eastAsia="nl-NL" w:bidi="ar-SA"/>
                    </w:rPr>
                    <w:t>19</w:t>
                  </w:r>
                </w:p>
              </w:tc>
              <w:tc>
                <w:tcPr>
                  <w:tcW w:w="740" w:type="dxa"/>
                  <w:tcBorders>
                    <w:top w:val="nil"/>
                    <w:left w:val="nil"/>
                    <w:bottom w:val="single" w:sz="8" w:space="0" w:color="auto"/>
                    <w:right w:val="single" w:sz="8" w:space="0" w:color="auto"/>
                  </w:tcBorders>
                  <w:shd w:val="clear" w:color="000000" w:fill="244061"/>
                  <w:noWrap/>
                  <w:vAlign w:val="center"/>
                  <w:hideMark/>
                </w:tcPr>
                <w:p w:rsidR="001B158C" w:rsidRPr="001B158C" w:rsidRDefault="00C97FA2" w:rsidP="001B158C">
                  <w:pPr>
                    <w:suppressAutoHyphens w:val="0"/>
                    <w:jc w:val="right"/>
                    <w:textAlignment w:val="auto"/>
                    <w:rPr>
                      <w:rFonts w:eastAsia="Times New Roman" w:cs="Arial"/>
                      <w:color w:val="FFFFFF"/>
                      <w:kern w:val="0"/>
                      <w:szCs w:val="21"/>
                      <w:lang w:eastAsia="nl-NL" w:bidi="ar-SA"/>
                    </w:rPr>
                  </w:pPr>
                  <w:r>
                    <w:rPr>
                      <w:rFonts w:eastAsia="Times New Roman" w:cs="Arial"/>
                      <w:color w:val="FFFFFF"/>
                      <w:kern w:val="0"/>
                      <w:szCs w:val="21"/>
                      <w:lang w:eastAsia="nl-NL" w:bidi="ar-SA"/>
                    </w:rPr>
                    <w:t>-659</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C97FA2" w:rsidP="001B158C">
                  <w:pPr>
                    <w:suppressAutoHyphens w:val="0"/>
                    <w:jc w:val="right"/>
                    <w:textAlignment w:val="auto"/>
                    <w:rPr>
                      <w:rFonts w:eastAsia="Times New Roman" w:cs="Arial"/>
                      <w:color w:val="FFFFFF"/>
                      <w:kern w:val="0"/>
                      <w:szCs w:val="21"/>
                      <w:lang w:eastAsia="nl-NL" w:bidi="ar-SA"/>
                    </w:rPr>
                  </w:pPr>
                  <w:r>
                    <w:rPr>
                      <w:rFonts w:eastAsia="Times New Roman" w:cs="Arial"/>
                      <w:color w:val="FFFFFF"/>
                      <w:kern w:val="0"/>
                      <w:szCs w:val="21"/>
                      <w:lang w:eastAsia="nl-NL" w:bidi="ar-SA"/>
                    </w:rPr>
                    <w:t>-545</w:t>
                  </w:r>
                </w:p>
              </w:tc>
              <w:tc>
                <w:tcPr>
                  <w:tcW w:w="800" w:type="dxa"/>
                  <w:tcBorders>
                    <w:top w:val="nil"/>
                    <w:left w:val="nil"/>
                    <w:bottom w:val="single" w:sz="8" w:space="0" w:color="auto"/>
                    <w:right w:val="single" w:sz="8" w:space="0" w:color="auto"/>
                  </w:tcBorders>
                  <w:shd w:val="clear" w:color="000000" w:fill="244061"/>
                  <w:noWrap/>
                  <w:vAlign w:val="center"/>
                  <w:hideMark/>
                </w:tcPr>
                <w:p w:rsidR="001B158C" w:rsidRPr="001B158C" w:rsidRDefault="00C97FA2" w:rsidP="001B158C">
                  <w:pPr>
                    <w:suppressAutoHyphens w:val="0"/>
                    <w:jc w:val="right"/>
                    <w:textAlignment w:val="auto"/>
                    <w:rPr>
                      <w:rFonts w:eastAsia="Times New Roman" w:cs="Arial"/>
                      <w:color w:val="FFFFFF"/>
                      <w:kern w:val="0"/>
                      <w:szCs w:val="21"/>
                      <w:lang w:eastAsia="nl-NL" w:bidi="ar-SA"/>
                    </w:rPr>
                  </w:pPr>
                  <w:r>
                    <w:rPr>
                      <w:rFonts w:eastAsia="Times New Roman" w:cs="Arial"/>
                      <w:color w:val="FFFFFF"/>
                      <w:kern w:val="0"/>
                      <w:szCs w:val="21"/>
                      <w:lang w:eastAsia="nl-NL" w:bidi="ar-SA"/>
                    </w:rPr>
                    <w:t>73</w:t>
                  </w:r>
                </w:p>
              </w:tc>
            </w:tr>
          </w:tbl>
          <w:p w:rsidR="001B158C" w:rsidRDefault="001B158C">
            <w:pPr>
              <w:ind w:left="57"/>
              <w:rPr>
                <w:rFonts w:cs="Arial"/>
                <w:color w:val="333333"/>
                <w:szCs w:val="21"/>
              </w:rPr>
            </w:pPr>
          </w:p>
          <w:p w:rsidR="001B158C" w:rsidRDefault="001B158C">
            <w:pPr>
              <w:ind w:left="57"/>
              <w:rPr>
                <w:rFonts w:cs="Arial"/>
                <w:color w:val="333333"/>
                <w:szCs w:val="21"/>
              </w:rPr>
            </w:pPr>
          </w:p>
          <w:p w:rsidR="00E25B06" w:rsidRDefault="00E75068">
            <w:pPr>
              <w:ind w:left="57"/>
              <w:rPr>
                <w:rFonts w:cs="Arial"/>
                <w:color w:val="333333"/>
                <w:szCs w:val="21"/>
              </w:rPr>
            </w:pPr>
            <w:r>
              <w:rPr>
                <w:rFonts w:cs="Arial"/>
                <w:color w:val="333333"/>
                <w:szCs w:val="21"/>
              </w:rPr>
              <w:lastRenderedPageBreak/>
              <w:t>De ontwikkelingen die zich hebben voorgedaan na de perspectiefnota blijven beperkt tot de meicirculaire en de aangenomen amendementen</w:t>
            </w:r>
            <w:r w:rsidR="004E6EBA">
              <w:rPr>
                <w:rFonts w:cs="Arial"/>
                <w:color w:val="333333"/>
                <w:szCs w:val="21"/>
              </w:rPr>
              <w:t xml:space="preserve"> over het uitstellen van de bezuinigingen op cultuur en het aanstellen van een junior raadsadviseur</w:t>
            </w:r>
            <w:r>
              <w:rPr>
                <w:rFonts w:cs="Arial"/>
                <w:color w:val="333333"/>
                <w:szCs w:val="21"/>
              </w:rPr>
              <w:t>. Na 1 augustus heeft zich ook nog een aantal ontwikkelingen voorgedaan. Met name de septembercirculaire is hierbij relevant. In deze toelichting besteden we daar aandacht aan.</w:t>
            </w:r>
          </w:p>
          <w:p w:rsidR="001B158C" w:rsidRDefault="001B158C">
            <w:pPr>
              <w:ind w:left="57"/>
              <w:rPr>
                <w:rFonts w:cs="Arial"/>
                <w:color w:val="333333"/>
                <w:szCs w:val="21"/>
              </w:rPr>
            </w:pPr>
          </w:p>
          <w:p w:rsidR="00E25B06" w:rsidRPr="001B158C" w:rsidRDefault="00E75068">
            <w:pPr>
              <w:ind w:left="57"/>
              <w:rPr>
                <w:rFonts w:cs="Arial"/>
                <w:b/>
                <w:bCs/>
                <w:color w:val="333333"/>
                <w:szCs w:val="21"/>
              </w:rPr>
            </w:pPr>
            <w:r w:rsidRPr="001B158C">
              <w:rPr>
                <w:rFonts w:cs="Arial"/>
                <w:b/>
                <w:bCs/>
                <w:color w:val="333333"/>
                <w:szCs w:val="21"/>
              </w:rPr>
              <w:t>Sociaal domein</w:t>
            </w:r>
          </w:p>
          <w:p w:rsidR="00E25B06" w:rsidRDefault="00E75068">
            <w:pPr>
              <w:ind w:left="57"/>
              <w:rPr>
                <w:rFonts w:cs="Arial"/>
                <w:color w:val="333333"/>
                <w:szCs w:val="21"/>
              </w:rPr>
            </w:pPr>
            <w:r>
              <w:rPr>
                <w:rFonts w:cs="Arial"/>
                <w:color w:val="333333"/>
                <w:szCs w:val="21"/>
              </w:rPr>
              <w:t>Zorg voor wie dat nodig heeft, dat is wat wij willen organiseren, voor jong en oud. Om deze ambitie waar te maken, hebben we de afgelopen jaren geïnvesteerd in kwaliteit, in preventie en in het bieden van zorg die zo licht is als mogelijk en zo zwaar als nodig. We hebben veel in het werk gesteld om inwoners zo vroeg mogelijk de hulp te kunnen geven die hen verder kan helpen. Met een kritische blik en steeds met oog op de middelen die door het Rijk beschikbaar zijn gesteld hebben we mooie resultaten bereikt.</w:t>
            </w:r>
          </w:p>
          <w:p w:rsidR="00E25B06" w:rsidRDefault="00E75068">
            <w:pPr>
              <w:ind w:left="57"/>
              <w:rPr>
                <w:rFonts w:cs="Arial"/>
                <w:color w:val="333333"/>
                <w:szCs w:val="21"/>
              </w:rPr>
            </w:pPr>
            <w:r>
              <w:rPr>
                <w:rFonts w:cs="Arial"/>
                <w:color w:val="333333"/>
                <w:szCs w:val="21"/>
              </w:rPr>
              <w:t xml:space="preserve">Denk aan actieve casusregie, de andere manier van werken door </w:t>
            </w:r>
            <w:proofErr w:type="spellStart"/>
            <w:r>
              <w:rPr>
                <w:rFonts w:cs="Arial"/>
                <w:color w:val="333333"/>
                <w:szCs w:val="21"/>
              </w:rPr>
              <w:t>Voormekaar</w:t>
            </w:r>
            <w:proofErr w:type="spellEnd"/>
            <w:r>
              <w:rPr>
                <w:rFonts w:cs="Arial"/>
                <w:color w:val="333333"/>
                <w:szCs w:val="21"/>
              </w:rPr>
              <w:t xml:space="preserve"> en verschillende algemene voorzieningen uit het beleidskader Samen Denken Samen Doen die nu een plek hebben in de </w:t>
            </w:r>
            <w:proofErr w:type="spellStart"/>
            <w:r>
              <w:rPr>
                <w:rFonts w:cs="Arial"/>
                <w:color w:val="333333"/>
                <w:szCs w:val="21"/>
              </w:rPr>
              <w:t>Berkellandse</w:t>
            </w:r>
            <w:proofErr w:type="spellEnd"/>
            <w:r>
              <w:rPr>
                <w:rFonts w:cs="Arial"/>
                <w:color w:val="333333"/>
                <w:szCs w:val="21"/>
              </w:rPr>
              <w:t xml:space="preserve"> samenleving.</w:t>
            </w:r>
          </w:p>
          <w:p w:rsidR="00E25B06" w:rsidRDefault="00E25B06">
            <w:pPr>
              <w:ind w:left="57"/>
              <w:rPr>
                <w:rFonts w:cs="Arial"/>
                <w:color w:val="333333"/>
                <w:szCs w:val="21"/>
              </w:rPr>
            </w:pPr>
          </w:p>
          <w:p w:rsidR="00E25B06" w:rsidRDefault="00E75068">
            <w:pPr>
              <w:ind w:left="57"/>
              <w:rPr>
                <w:rFonts w:cs="Arial"/>
                <w:b/>
                <w:bCs/>
                <w:color w:val="333333"/>
                <w:szCs w:val="21"/>
              </w:rPr>
            </w:pPr>
            <w:r>
              <w:rPr>
                <w:rFonts w:cs="Arial"/>
                <w:b/>
                <w:bCs/>
                <w:color w:val="333333"/>
                <w:szCs w:val="21"/>
              </w:rPr>
              <w:t>Onze invloed op ontwikkelingen</w:t>
            </w:r>
          </w:p>
          <w:p w:rsidR="00E25B06" w:rsidRDefault="00E75068">
            <w:pPr>
              <w:ind w:left="57"/>
              <w:rPr>
                <w:rFonts w:cs="Arial"/>
                <w:color w:val="333333"/>
                <w:szCs w:val="21"/>
              </w:rPr>
            </w:pPr>
            <w:r>
              <w:rPr>
                <w:rFonts w:cs="Arial"/>
                <w:color w:val="333333"/>
                <w:szCs w:val="21"/>
              </w:rPr>
              <w:t>Voor de komende jaren is het onze ambitie om toekomstgerichte zorg te kunnen blijven bieden. Dat doen we nog steeds vanuit positieve gezondheid, preventie en normaliseren en met behulp van onze eigen sturingsmaatregelen. Van deze sturingsmaatregelen verwachten we voor het komende jaar € 0,9 miljoen van de € 2,5 miljoen te realiseren. De resterende € 1,6 miljoen ramen we nu af. </w:t>
            </w:r>
          </w:p>
          <w:p w:rsidR="00E25B06" w:rsidRDefault="00E75068">
            <w:pPr>
              <w:ind w:left="57"/>
              <w:rPr>
                <w:rFonts w:cs="Arial"/>
                <w:color w:val="333333"/>
                <w:szCs w:val="21"/>
              </w:rPr>
            </w:pPr>
            <w:r>
              <w:rPr>
                <w:rFonts w:cs="Arial"/>
                <w:color w:val="333333"/>
                <w:szCs w:val="21"/>
              </w:rPr>
              <w:t>Waar dat kan, proberen we vanuit de inhoud te sturen op zorg die passend en nodig is. Denk aan de inzet van de praktijkondersteuners Jeugd bij de huisartsen.</w:t>
            </w:r>
          </w:p>
          <w:p w:rsidR="00E25B06" w:rsidRDefault="00E75068">
            <w:pPr>
              <w:ind w:left="57"/>
              <w:rPr>
                <w:rFonts w:cs="Arial"/>
                <w:color w:val="333333"/>
                <w:szCs w:val="21"/>
              </w:rPr>
            </w:pPr>
            <w:r>
              <w:rPr>
                <w:rFonts w:cs="Arial"/>
                <w:color w:val="333333"/>
                <w:szCs w:val="21"/>
              </w:rPr>
              <w:t>Wat we tegelijk wel zien, is dat volledig invloed hebben en uitoefenen in het sociaal domein niet zo eenvoudig is als dat het lijkt.</w:t>
            </w:r>
          </w:p>
          <w:p w:rsidR="00E25B06" w:rsidRDefault="00E75068">
            <w:pPr>
              <w:ind w:left="57"/>
              <w:rPr>
                <w:rFonts w:cs="Arial"/>
                <w:color w:val="333333"/>
                <w:szCs w:val="21"/>
              </w:rPr>
            </w:pPr>
            <w:r>
              <w:rPr>
                <w:rFonts w:cs="Arial"/>
                <w:color w:val="333333"/>
                <w:szCs w:val="21"/>
              </w:rPr>
              <w:t xml:space="preserve">Zo ligt het buiten onze macht om te kunnen sturen op ontwikkelingen als een oplopend personeelstekort in de zorg, de aanzuigende werking van het abonnementstarief, de onzekere gevolgen van corona, de open eindregelingen binnen </w:t>
            </w:r>
            <w:proofErr w:type="spellStart"/>
            <w:r>
              <w:rPr>
                <w:rFonts w:cs="Arial"/>
                <w:color w:val="333333"/>
                <w:szCs w:val="21"/>
              </w:rPr>
              <w:t>Wmo</w:t>
            </w:r>
            <w:proofErr w:type="spellEnd"/>
            <w:r>
              <w:rPr>
                <w:rFonts w:cs="Arial"/>
                <w:color w:val="333333"/>
                <w:szCs w:val="21"/>
              </w:rPr>
              <w:t xml:space="preserve"> en Jeugdhulp en het verder voortzetten van de vergrijzing en daarbij komende kosten voor woningaanpassingen en ondersteuning thuis. Ook het AEF-onderzoek naar structurele middelen voor jeugdhulp en de arbitragezaak die de VNG recent tegen het Rijk heeft aangespannen over de vergoeding voor de kosten in de jeugdzorg bevestigen het beeld dat het moeilijk is om grip te houden op de uitgaven in het sociaal domein.</w:t>
            </w:r>
          </w:p>
          <w:p w:rsidR="00E25B06" w:rsidRDefault="00E75068">
            <w:pPr>
              <w:ind w:left="57"/>
              <w:rPr>
                <w:rFonts w:cs="Arial"/>
                <w:color w:val="333333"/>
                <w:szCs w:val="21"/>
              </w:rPr>
            </w:pPr>
            <w:r>
              <w:rPr>
                <w:rFonts w:cs="Arial"/>
                <w:color w:val="333333"/>
                <w:szCs w:val="21"/>
              </w:rPr>
              <w:t>Hoe dicht we er ook bovenop zitten en hoe graag we ook willen: we kunnen niet voorkomen dat de komende jaren de kosten voor zorg en ondersteuning door deze ontwikkelingen flink stijgen.</w:t>
            </w:r>
          </w:p>
          <w:p w:rsidR="00E25B06" w:rsidRDefault="00E25B06">
            <w:pPr>
              <w:ind w:left="57"/>
              <w:rPr>
                <w:rFonts w:cs="Arial"/>
                <w:color w:val="333333"/>
                <w:szCs w:val="21"/>
              </w:rPr>
            </w:pPr>
          </w:p>
          <w:p w:rsidR="00E25B06" w:rsidRDefault="00E75068">
            <w:pPr>
              <w:ind w:left="57"/>
              <w:rPr>
                <w:rFonts w:cs="Arial"/>
                <w:b/>
                <w:bCs/>
                <w:color w:val="333333"/>
                <w:szCs w:val="21"/>
              </w:rPr>
            </w:pPr>
            <w:r>
              <w:rPr>
                <w:rFonts w:cs="Arial"/>
                <w:b/>
                <w:bCs/>
                <w:color w:val="333333"/>
                <w:szCs w:val="21"/>
              </w:rPr>
              <w:t>Voorbereiden op wat komen gaat om ondersteuning te kunnen blijven bieden</w:t>
            </w:r>
          </w:p>
          <w:p w:rsidR="00E25B06" w:rsidRPr="004E6EBA" w:rsidRDefault="00E75068">
            <w:pPr>
              <w:ind w:left="57"/>
              <w:rPr>
                <w:rFonts w:cs="Arial"/>
                <w:b/>
                <w:bCs/>
                <w:color w:val="333333"/>
                <w:szCs w:val="21"/>
              </w:rPr>
            </w:pPr>
            <w:r>
              <w:rPr>
                <w:rFonts w:cs="Arial"/>
                <w:color w:val="333333"/>
                <w:szCs w:val="21"/>
              </w:rPr>
              <w:t>Deze ontwikkelingen zelf kunnen we niet stoppen. Wat we wel kunnen, is dat we er nu al rekening mee houden. Als we kijken naar de financiën, dan lag er tot nu toe een afspraak om zorg en ondersteuning te betalen uit de middelen van het Rijk. Dat willen we ook in 2022 gaan doen. De extra middelen die wij als gemeente van het Rijk krijgen voor de uitvoering van het sociaal domein willen we dan ook opnieuw reserveren voor uitgaven voor zorg en ondersteuning aan inwoners uit Berkelland. Op die manier kunnen we de kwaliteit die we de afgelopen jaren hebben geleverd voorop laten staan en zijn we tegelijkertijd voorbereid op de onzekere uitgaven die onze kant op komen. Gelijktijdig is dit ook het moment om de afspraak los te laten. De verwachting is dat er extra middelen gaan komen en dat we ons daarmee ook meer kunnen focussen op de te leveren zorg.</w:t>
            </w:r>
            <w:r w:rsidR="004E6EBA">
              <w:rPr>
                <w:rFonts w:cs="Arial"/>
                <w:color w:val="333333"/>
                <w:szCs w:val="21"/>
              </w:rPr>
              <w:t xml:space="preserve"> Bovendien zijn de middelen voor de zorg onderdeel van onze algemene uitkering en daarmee steeds moeilijker te herleiden naar een specifiek doel. Bij de </w:t>
            </w:r>
            <w:proofErr w:type="spellStart"/>
            <w:r w:rsidR="004E6EBA">
              <w:rPr>
                <w:rFonts w:cs="Arial"/>
                <w:color w:val="333333"/>
                <w:szCs w:val="21"/>
              </w:rPr>
              <w:t>Perpsectiefnota</w:t>
            </w:r>
            <w:proofErr w:type="spellEnd"/>
            <w:r w:rsidR="004E6EBA">
              <w:rPr>
                <w:rFonts w:cs="Arial"/>
                <w:color w:val="333333"/>
                <w:szCs w:val="21"/>
              </w:rPr>
              <w:t xml:space="preserve"> 202</w:t>
            </w:r>
            <w:r w:rsidR="00B02043">
              <w:rPr>
                <w:rFonts w:cs="Arial"/>
                <w:color w:val="333333"/>
                <w:szCs w:val="21"/>
              </w:rPr>
              <w:t>3</w:t>
            </w:r>
            <w:r w:rsidR="004E6EBA">
              <w:rPr>
                <w:rFonts w:cs="Arial"/>
                <w:color w:val="333333"/>
                <w:szCs w:val="21"/>
              </w:rPr>
              <w:t xml:space="preserve"> zullen we een voorstel hiervoor doen.</w:t>
            </w:r>
          </w:p>
          <w:p w:rsidR="001B158C" w:rsidRDefault="001B158C">
            <w:pPr>
              <w:ind w:left="57"/>
              <w:rPr>
                <w:rFonts w:cs="Arial"/>
                <w:color w:val="333333"/>
                <w:szCs w:val="21"/>
              </w:rPr>
            </w:pPr>
          </w:p>
          <w:p w:rsidR="00E25B06" w:rsidRDefault="00E75068">
            <w:pPr>
              <w:ind w:left="57"/>
              <w:rPr>
                <w:rFonts w:cs="Arial"/>
                <w:b/>
                <w:bCs/>
                <w:color w:val="333333"/>
                <w:szCs w:val="21"/>
              </w:rPr>
            </w:pPr>
            <w:r>
              <w:rPr>
                <w:rFonts w:cs="Arial"/>
                <w:b/>
                <w:bCs/>
                <w:color w:val="333333"/>
                <w:szCs w:val="21"/>
              </w:rPr>
              <w:t>Septembercirculaire</w:t>
            </w:r>
          </w:p>
          <w:p w:rsidR="00E25B06" w:rsidRDefault="00E75068">
            <w:pPr>
              <w:ind w:left="57"/>
              <w:rPr>
                <w:rFonts w:cs="Arial"/>
                <w:color w:val="333333"/>
                <w:szCs w:val="21"/>
              </w:rPr>
            </w:pPr>
            <w:r>
              <w:rPr>
                <w:rFonts w:cs="Arial"/>
                <w:color w:val="333333"/>
                <w:szCs w:val="21"/>
              </w:rPr>
              <w:t>De algemene uitkering die wij ontvangen is ons deel van het gemeentefonds, aangevuld met decentralisatie uitkeringen. De groei (of daling) van het gemeentefonds wordt bepaald aan de hand van de ontwikkeling van een gedeelte van de rijksuitgaven (de accres relevante uitgaven). Via de mei- en septembercirculaire worden wij geïnformeerd over de omvang van het gemeentefonds en de wijze waarop het gemeentefonds wordt verdeeld over de gemeenten.</w:t>
            </w:r>
          </w:p>
          <w:p w:rsidR="00E25B06" w:rsidRDefault="00E75068">
            <w:pPr>
              <w:ind w:left="57"/>
              <w:rPr>
                <w:rFonts w:cs="Arial"/>
                <w:color w:val="333333"/>
                <w:szCs w:val="21"/>
              </w:rPr>
            </w:pPr>
            <w:r>
              <w:rPr>
                <w:rFonts w:cs="Arial"/>
                <w:color w:val="333333"/>
                <w:szCs w:val="21"/>
              </w:rPr>
              <w:t xml:space="preserve">De septembercirculaire laat zien dat de accres relevante uitgaven stijgen. Dit door een hogere geraamde loon- en prijsontwikkeling in de Macro Economische Verkenning (MEV-raming) van het Centraal Planbureau en door een positieve volumeontwikkeling. Het kabinet heeft daarnaast </w:t>
            </w:r>
            <w:r>
              <w:rPr>
                <w:rFonts w:cs="Arial"/>
                <w:color w:val="333333"/>
                <w:szCs w:val="21"/>
              </w:rPr>
              <w:lastRenderedPageBreak/>
              <w:t>vanaf 2022 aanvullende middelen uitgetrokken voor een aantal beleidsterreinen, waaronder voor klimaatmaatmaatregelen. Daarnaast zijn de kosten voor het compenseren van de gedupeerden van de kinderopvangtoeslag opwaarts bijgesteld. Ook andere uitgaven zoals die in de zorg en de EU-afdrachten zijn opwaarts bijgesteld. Al deze uitgaven tellen mee bij het vaststellen van de hoogte van het gemeentefonds.</w:t>
            </w:r>
          </w:p>
          <w:p w:rsidR="00E25B06" w:rsidRDefault="00E75068">
            <w:pPr>
              <w:ind w:left="57"/>
              <w:rPr>
                <w:rFonts w:cs="Arial"/>
                <w:color w:val="333333"/>
                <w:szCs w:val="21"/>
              </w:rPr>
            </w:pPr>
            <w:r>
              <w:rPr>
                <w:rFonts w:cs="Arial"/>
                <w:color w:val="333333"/>
                <w:szCs w:val="21"/>
              </w:rPr>
              <w:t xml:space="preserve">Deze ontwikkelingen leiden tot een extra algemene uitkering in 2022 van € </w:t>
            </w:r>
            <w:r w:rsidR="00961FF1">
              <w:rPr>
                <w:rFonts w:cs="Arial"/>
                <w:color w:val="333333"/>
                <w:szCs w:val="21"/>
              </w:rPr>
              <w:t>4.5</w:t>
            </w:r>
            <w:r w:rsidR="00C97FA2">
              <w:rPr>
                <w:rFonts w:cs="Arial"/>
                <w:color w:val="333333"/>
                <w:szCs w:val="21"/>
              </w:rPr>
              <w:t>00</w:t>
            </w:r>
            <w:r w:rsidR="00961FF1">
              <w:rPr>
                <w:rFonts w:cs="Arial"/>
                <w:color w:val="333333"/>
                <w:szCs w:val="21"/>
              </w:rPr>
              <w:t>.000</w:t>
            </w:r>
            <w:r>
              <w:rPr>
                <w:rFonts w:cs="Arial"/>
                <w:color w:val="333333"/>
                <w:szCs w:val="21"/>
              </w:rPr>
              <w:t xml:space="preserve">. Voor de jaren erna neemt de uitkering ook toe (€ </w:t>
            </w:r>
            <w:r w:rsidR="00961FF1">
              <w:rPr>
                <w:rFonts w:cs="Arial"/>
                <w:color w:val="333333"/>
                <w:szCs w:val="21"/>
              </w:rPr>
              <w:t>1.1</w:t>
            </w:r>
            <w:r w:rsidR="00C97FA2">
              <w:rPr>
                <w:rFonts w:cs="Arial"/>
                <w:color w:val="333333"/>
                <w:szCs w:val="21"/>
              </w:rPr>
              <w:t>11</w:t>
            </w:r>
            <w:r w:rsidR="00961FF1">
              <w:rPr>
                <w:rFonts w:cs="Arial"/>
                <w:color w:val="333333"/>
                <w:szCs w:val="21"/>
              </w:rPr>
              <w:t xml:space="preserve">.000 </w:t>
            </w:r>
            <w:r>
              <w:rPr>
                <w:rFonts w:cs="Arial"/>
                <w:color w:val="333333"/>
                <w:szCs w:val="21"/>
              </w:rPr>
              <w:t xml:space="preserve">in 2023, € </w:t>
            </w:r>
            <w:r w:rsidR="00961FF1">
              <w:rPr>
                <w:rFonts w:cs="Arial"/>
                <w:color w:val="333333"/>
                <w:szCs w:val="21"/>
              </w:rPr>
              <w:t>1.1</w:t>
            </w:r>
            <w:r w:rsidR="00C97FA2">
              <w:rPr>
                <w:rFonts w:cs="Arial"/>
                <w:color w:val="333333"/>
                <w:szCs w:val="21"/>
              </w:rPr>
              <w:t>42</w:t>
            </w:r>
            <w:r w:rsidR="00961FF1">
              <w:rPr>
                <w:rFonts w:cs="Arial"/>
                <w:color w:val="333333"/>
                <w:szCs w:val="21"/>
              </w:rPr>
              <w:t xml:space="preserve">.000 </w:t>
            </w:r>
            <w:r>
              <w:rPr>
                <w:rFonts w:cs="Arial"/>
                <w:color w:val="333333"/>
                <w:szCs w:val="21"/>
              </w:rPr>
              <w:t xml:space="preserve">in 2024 en € </w:t>
            </w:r>
            <w:r w:rsidR="00961FF1">
              <w:rPr>
                <w:rFonts w:cs="Arial"/>
                <w:color w:val="333333"/>
                <w:szCs w:val="21"/>
              </w:rPr>
              <w:t>1.3</w:t>
            </w:r>
            <w:r w:rsidR="00C97FA2">
              <w:rPr>
                <w:rFonts w:cs="Arial"/>
                <w:color w:val="333333"/>
                <w:szCs w:val="21"/>
              </w:rPr>
              <w:t>35</w:t>
            </w:r>
            <w:r w:rsidR="00961FF1">
              <w:rPr>
                <w:rFonts w:cs="Arial"/>
                <w:color w:val="333333"/>
                <w:szCs w:val="21"/>
              </w:rPr>
              <w:t xml:space="preserve">.000 </w:t>
            </w:r>
            <w:r>
              <w:rPr>
                <w:rFonts w:cs="Arial"/>
                <w:color w:val="333333"/>
                <w:szCs w:val="21"/>
              </w:rPr>
              <w:t>in 2025).</w:t>
            </w:r>
          </w:p>
          <w:p w:rsidR="00E25B06" w:rsidRDefault="00E75068">
            <w:pPr>
              <w:ind w:left="57"/>
              <w:rPr>
                <w:rFonts w:cs="Arial"/>
                <w:color w:val="333333"/>
                <w:szCs w:val="21"/>
              </w:rPr>
            </w:pPr>
            <w:r>
              <w:rPr>
                <w:rFonts w:cs="Arial"/>
                <w:color w:val="333333"/>
                <w:szCs w:val="21"/>
              </w:rPr>
              <w:t xml:space="preserve">Een gedeelte </w:t>
            </w:r>
            <w:r w:rsidR="004E6EBA">
              <w:rPr>
                <w:rFonts w:cs="Arial"/>
                <w:color w:val="333333"/>
                <w:szCs w:val="21"/>
              </w:rPr>
              <w:t xml:space="preserve">(± €20.000) </w:t>
            </w:r>
            <w:r>
              <w:rPr>
                <w:rFonts w:cs="Arial"/>
                <w:color w:val="333333"/>
                <w:szCs w:val="21"/>
              </w:rPr>
              <w:t>van deze extra middelen krijgen we omdat we ook extra taken moeten doen</w:t>
            </w:r>
            <w:r w:rsidR="008E4D14">
              <w:rPr>
                <w:rFonts w:cs="Arial"/>
                <w:color w:val="333333"/>
                <w:szCs w:val="21"/>
              </w:rPr>
              <w:t xml:space="preserve"> bijvoorbeeld op het gebied van het Rijks Vaccinatie Programma</w:t>
            </w:r>
            <w:r>
              <w:rPr>
                <w:rFonts w:cs="Arial"/>
                <w:color w:val="333333"/>
                <w:szCs w:val="21"/>
              </w:rPr>
              <w:t>. Voor deze taken ramen we nu ook de lasten.</w:t>
            </w:r>
          </w:p>
          <w:p w:rsidR="00E25B06" w:rsidRDefault="00E75068">
            <w:pPr>
              <w:ind w:left="57"/>
              <w:rPr>
                <w:rFonts w:cs="Arial"/>
                <w:color w:val="333333"/>
                <w:szCs w:val="21"/>
              </w:rPr>
            </w:pPr>
            <w:r>
              <w:rPr>
                <w:rFonts w:cs="Arial"/>
                <w:color w:val="333333"/>
                <w:szCs w:val="21"/>
              </w:rPr>
              <w:t>Tot slot ontvangen we in 2022 € 2,5 miljoen voor de jeugdzorg. In juni was al bekend gemaakt dat er een extra bedrag zou komen in 2022. Dit bedrag is in de septembercirculaire toegevoegd aan de algemene uitkering.</w:t>
            </w:r>
          </w:p>
          <w:p w:rsidR="00E25B06" w:rsidRDefault="00E25B06">
            <w:pPr>
              <w:ind w:left="57"/>
              <w:rPr>
                <w:rFonts w:cs="Arial"/>
                <w:color w:val="333333"/>
                <w:szCs w:val="21"/>
              </w:rPr>
            </w:pPr>
          </w:p>
          <w:p w:rsidR="00E25B06" w:rsidRDefault="00E75068">
            <w:pPr>
              <w:ind w:left="57"/>
              <w:rPr>
                <w:rFonts w:cs="Arial"/>
                <w:b/>
                <w:bCs/>
                <w:color w:val="333333"/>
                <w:szCs w:val="21"/>
              </w:rPr>
            </w:pPr>
            <w:r>
              <w:rPr>
                <w:rFonts w:cs="Arial"/>
                <w:b/>
                <w:bCs/>
                <w:color w:val="333333"/>
                <w:szCs w:val="21"/>
              </w:rPr>
              <w:t>Tarief Afval</w:t>
            </w:r>
          </w:p>
          <w:p w:rsidR="001B158C" w:rsidRDefault="00E75068">
            <w:pPr>
              <w:ind w:left="57"/>
              <w:rPr>
                <w:rFonts w:cs="Arial"/>
                <w:color w:val="333333"/>
                <w:szCs w:val="21"/>
              </w:rPr>
            </w:pPr>
            <w:r>
              <w:rPr>
                <w:rFonts w:cs="Arial"/>
                <w:color w:val="333333"/>
                <w:szCs w:val="21"/>
              </w:rPr>
              <w:t xml:space="preserve">De egalisatiereserve afval is er om grote schommelingen in het tarief te voorkomen. Er zit nu echter meer in de egalisatiereserve dan is afgesproken. Naar aanleiding van de discussie bij de </w:t>
            </w:r>
            <w:proofErr w:type="spellStart"/>
            <w:r>
              <w:rPr>
                <w:rFonts w:cs="Arial"/>
                <w:color w:val="333333"/>
                <w:szCs w:val="21"/>
              </w:rPr>
              <w:t>bestuursrapportage</w:t>
            </w:r>
            <w:proofErr w:type="spellEnd"/>
            <w:r>
              <w:rPr>
                <w:rFonts w:cs="Arial"/>
                <w:color w:val="333333"/>
                <w:szCs w:val="21"/>
              </w:rPr>
              <w:t xml:space="preserve"> verlagen we de reserve Afvalstoffenheffing naar het plafond. Het meerdere geven we via een korting op de afvalstoffenheffing terug. Dit leidt tot een daling van de tarieven met ongeveer 20%.</w:t>
            </w:r>
          </w:p>
          <w:p w:rsidR="001B158C" w:rsidRDefault="001B158C">
            <w:pPr>
              <w:ind w:left="57"/>
              <w:rPr>
                <w:rFonts w:cs="Arial"/>
                <w:b/>
                <w:bCs/>
                <w:color w:val="333333"/>
                <w:szCs w:val="21"/>
              </w:rPr>
            </w:pPr>
          </w:p>
          <w:p w:rsidR="00E25B06" w:rsidRDefault="00E75068">
            <w:pPr>
              <w:ind w:left="57"/>
              <w:rPr>
                <w:rFonts w:cs="Arial"/>
                <w:b/>
                <w:bCs/>
                <w:color w:val="333333"/>
                <w:szCs w:val="21"/>
              </w:rPr>
            </w:pPr>
            <w:r>
              <w:rPr>
                <w:rFonts w:cs="Arial"/>
                <w:b/>
                <w:bCs/>
                <w:color w:val="333333"/>
                <w:szCs w:val="21"/>
              </w:rPr>
              <w:t>Tarief Riolering</w:t>
            </w:r>
          </w:p>
          <w:p w:rsidR="00E25B06" w:rsidRDefault="00E75068">
            <w:pPr>
              <w:ind w:left="57"/>
              <w:rPr>
                <w:rFonts w:cs="Arial"/>
                <w:color w:val="333333"/>
                <w:szCs w:val="21"/>
              </w:rPr>
            </w:pPr>
            <w:r>
              <w:rPr>
                <w:rFonts w:cs="Arial"/>
                <w:color w:val="333333"/>
                <w:szCs w:val="21"/>
              </w:rPr>
              <w:t>Het uitgangspunt voor de rioolheffing is 100% kostendekkende tarieven op termijn. Op basis van het watertakenplan 2019-2023 is de inschatting gemaakt dat de tarieven de komende jaren, naast de inflatiecorrectie, met 2% extra moeten stijgen om op een kostendekkend niveau te komen. Tekorten of overschotten op het taakveld riolering worden verrekend met de voorziening riolering. Deze voorziening dient om tegenvallers op te vangen en voorkomt grote schommelingen in de tarieven.</w:t>
            </w:r>
          </w:p>
          <w:p w:rsidR="00C97FA2" w:rsidRDefault="00C97FA2">
            <w:pPr>
              <w:ind w:left="57"/>
              <w:rPr>
                <w:rFonts w:cs="Arial"/>
                <w:color w:val="333333"/>
                <w:szCs w:val="21"/>
              </w:rPr>
            </w:pPr>
          </w:p>
          <w:p w:rsidR="00E25B06" w:rsidRDefault="00E75068">
            <w:pPr>
              <w:ind w:left="57"/>
              <w:rPr>
                <w:rFonts w:cs="Arial"/>
                <w:color w:val="333333"/>
                <w:szCs w:val="21"/>
              </w:rPr>
            </w:pPr>
            <w:r>
              <w:rPr>
                <w:rFonts w:cs="Arial"/>
                <w:color w:val="333333"/>
                <w:szCs w:val="21"/>
              </w:rPr>
              <w:t>De komende jaren is het tarief niet kostendekkend en gebruiken we ook de rioolvoorziening om de noodzakelijke investeringen en onderhoud aan het riool te kunnen financieren. We hebben berekend dat we op deze manier in 2030 op een kostendekkend tarief zitten.</w:t>
            </w:r>
          </w:p>
          <w:p w:rsidR="00C97FA2" w:rsidRDefault="00C97FA2">
            <w:pPr>
              <w:ind w:left="57"/>
              <w:rPr>
                <w:rFonts w:cs="Arial"/>
                <w:color w:val="333333"/>
                <w:szCs w:val="21"/>
              </w:rPr>
            </w:pPr>
          </w:p>
          <w:p w:rsidR="00E25B06" w:rsidRDefault="00E75068">
            <w:pPr>
              <w:ind w:left="57"/>
              <w:rPr>
                <w:rFonts w:cs="Arial"/>
                <w:color w:val="333333"/>
                <w:szCs w:val="21"/>
              </w:rPr>
            </w:pPr>
            <w:r>
              <w:rPr>
                <w:rFonts w:cs="Arial"/>
                <w:color w:val="333333"/>
                <w:szCs w:val="21"/>
              </w:rPr>
              <w:t>In 2019 en 2020 was er een positief saldo op riolering. Dit komt o.a. doordat investeringen later worden gerealiseerd dan waarmee in het watertakenplan gerekend is. Het positieve saldo is toegevoegd aan de voorziening riolering. De voorziening is daardoor op dit moment ruim hoger dan waarmee in het watertakenplan gerekend is. Dat maakt dat we het, hoewel we nog niet op het berekende kostendekkende tarief voor de planperiode zitten, toch redelijk vinden om voor 2022 eenmalig af te zien van een verhoging van het riooltarief. Omdat de investeringen wat later worden uitgevoerd dan gepland, drukken ook de bijbehorende kapitaalslasten later op de begroting. Op basis van de meest recente cijfers (</w:t>
            </w:r>
            <w:proofErr w:type="spellStart"/>
            <w:r>
              <w:rPr>
                <w:rFonts w:cs="Arial"/>
                <w:color w:val="333333"/>
                <w:szCs w:val="21"/>
              </w:rPr>
              <w:t>Berap</w:t>
            </w:r>
            <w:proofErr w:type="spellEnd"/>
            <w:r>
              <w:rPr>
                <w:rFonts w:cs="Arial"/>
                <w:color w:val="333333"/>
                <w:szCs w:val="21"/>
              </w:rPr>
              <w:t xml:space="preserve"> 2021) blijkt dat we in 2021 naar verwachting niet alle geplande projecten (investeringen) kunnen uitvoeren. Als we dit doorrekenen naar 2022 kunnen we daardoor ook in 2022 een toevoeging aan de voorziening verwachten. Daarom stellen we voor om, naast de eenmalige tariefstabilisatie, ook per aansluiting een bedrag van 35 euro terug te geven. Dit betekent dus in feite een korting van 35 euro op het tarief dat per aansluiting in 2021 betaald moest worden.</w:t>
            </w:r>
          </w:p>
          <w:p w:rsidR="001B158C" w:rsidRDefault="001B158C">
            <w:pPr>
              <w:ind w:left="57"/>
              <w:rPr>
                <w:rFonts w:cs="Arial"/>
                <w:color w:val="333333"/>
                <w:szCs w:val="21"/>
              </w:rPr>
            </w:pPr>
          </w:p>
          <w:p w:rsidR="00E25B06" w:rsidRDefault="00E75068">
            <w:pPr>
              <w:ind w:left="57"/>
              <w:rPr>
                <w:rFonts w:cs="Arial"/>
                <w:b/>
                <w:bCs/>
                <w:color w:val="333333"/>
                <w:szCs w:val="21"/>
              </w:rPr>
            </w:pPr>
            <w:r>
              <w:rPr>
                <w:rFonts w:cs="Arial"/>
                <w:b/>
                <w:bCs/>
                <w:color w:val="333333"/>
                <w:szCs w:val="21"/>
              </w:rPr>
              <w:t>Motie M 21-19 Gelijkwaardige behandeling Sport- en Cultuurverenigingen</w:t>
            </w:r>
          </w:p>
          <w:p w:rsidR="00E25B06" w:rsidRDefault="00E75068">
            <w:pPr>
              <w:ind w:left="57"/>
              <w:rPr>
                <w:rFonts w:cs="Arial"/>
                <w:color w:val="333333"/>
                <w:szCs w:val="21"/>
              </w:rPr>
            </w:pPr>
            <w:r>
              <w:rPr>
                <w:rFonts w:cs="Arial"/>
                <w:color w:val="333333"/>
                <w:szCs w:val="21"/>
              </w:rPr>
              <w:t>In de perspectiefnota is een bedrage van € 70.000 opgenomen om sportverenigingen met een eigen accommodatie te compenseren voor de OZB. In motie M21-19 is gevraagd om cultuurverenigingen met een eigen accommodatie op eenzelfde manier te behandelen als de sportverenigingen. Het plan voor de sportverenigingen is in voorbereiding. Daarbij moeten nog de nodige uitvoeringsvraagstukken worden opgelost. We kunnen op dit moment dan ook nog niet overzien wat de precieze gevolgen zullen zijn van het gelijkschakelen van de cultuurverenigingen met een eigen accommodatie. Onze inschatting is dat dit zo'n € 80.000 zal zijn. Daarom ramen we dit bedrag als compensatie voor de OZB van cultuurverenigingen met een eigen accommodatie. Dit bedrag voegen we via de 1e begrotingswijziging toe en is daarmee geen onderdeel van de primitieve begroting.</w:t>
            </w:r>
          </w:p>
        </w:tc>
      </w:tr>
    </w:tbl>
    <w:p w:rsidR="00E25B06" w:rsidRDefault="00E25B06">
      <w:pPr>
        <w:rPr>
          <w:rFonts w:cs="Arial"/>
          <w:b/>
          <w:szCs w:val="21"/>
        </w:rPr>
      </w:pPr>
    </w:p>
    <w:p w:rsidR="00E25B06" w:rsidRDefault="001B158C">
      <w:pPr>
        <w:rPr>
          <w:rFonts w:cs="Arial"/>
          <w:b/>
          <w:szCs w:val="21"/>
        </w:rPr>
      </w:pPr>
      <w:r>
        <w:rPr>
          <w:rFonts w:cs="Arial"/>
          <w:b/>
          <w:szCs w:val="21"/>
        </w:rPr>
        <w:t>Gewijzigde tabellen</w:t>
      </w:r>
    </w:p>
    <w:p w:rsidR="00E75068" w:rsidRDefault="001B158C" w:rsidP="004E52B6">
      <w:pPr>
        <w:rPr>
          <w:szCs w:val="21"/>
        </w:rPr>
      </w:pPr>
      <w:r>
        <w:rPr>
          <w:rFonts w:cs="Arial"/>
          <w:bCs/>
          <w:szCs w:val="21"/>
        </w:rPr>
        <w:lastRenderedPageBreak/>
        <w:t>De 1</w:t>
      </w:r>
      <w:r w:rsidRPr="001B158C">
        <w:rPr>
          <w:rFonts w:cs="Arial"/>
          <w:bCs/>
          <w:szCs w:val="21"/>
          <w:vertAlign w:val="superscript"/>
        </w:rPr>
        <w:t>e</w:t>
      </w:r>
      <w:r>
        <w:rPr>
          <w:rFonts w:cs="Arial"/>
          <w:bCs/>
          <w:szCs w:val="21"/>
        </w:rPr>
        <w:t xml:space="preserve"> begrotingswijziging leidt er ook toe dat een aantal tabellen die in de begroting staan aangepast zouden moeten worden. Voor de volledigheid zijn in Bijlage 1 </w:t>
      </w:r>
      <w:r w:rsidR="004C0FC1">
        <w:rPr>
          <w:rFonts w:cs="Arial"/>
          <w:bCs/>
          <w:szCs w:val="21"/>
        </w:rPr>
        <w:t xml:space="preserve">bij dit raadsvoorstel </w:t>
      </w:r>
      <w:r>
        <w:rPr>
          <w:rFonts w:cs="Arial"/>
          <w:bCs/>
          <w:szCs w:val="21"/>
        </w:rPr>
        <w:t>de gewijzigde tabellen opgenomen.</w:t>
      </w:r>
    </w:p>
    <w:sectPr w:rsidR="00E75068" w:rsidSect="004E52B6">
      <w:headerReference w:type="default" r:id="rId8"/>
      <w:footerReference w:type="default" r:id="rId9"/>
      <w:headerReference w:type="first" r:id="rId10"/>
      <w:footerReference w:type="first" r:id="rId11"/>
      <w:pgSz w:w="11906" w:h="16838"/>
      <w:pgMar w:top="1134" w:right="1134" w:bottom="765" w:left="1134" w:header="708" w:footer="708" w:gutter="0"/>
      <w:cols w:space="708"/>
      <w:formProt w:val="0"/>
      <w:titlePg/>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068" w:rsidRDefault="00E75068">
      <w:r>
        <w:separator/>
      </w:r>
    </w:p>
  </w:endnote>
  <w:endnote w:type="continuationSeparator" w:id="0">
    <w:p w:rsidR="00E75068" w:rsidRDefault="00E7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68" w:rsidRDefault="00E75068">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0" w:type="dxa"/>
      <w:tblInd w:w="-108" w:type="dxa"/>
      <w:tblLook w:val="04A0" w:firstRow="1" w:lastRow="0" w:firstColumn="1" w:lastColumn="0" w:noHBand="0" w:noVBand="1"/>
    </w:tblPr>
    <w:tblGrid>
      <w:gridCol w:w="4370"/>
      <w:gridCol w:w="5380"/>
    </w:tblGrid>
    <w:tr w:rsidR="00E75068">
      <w:tc>
        <w:tcPr>
          <w:tcW w:w="437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In te vullen door Griffie:</w:t>
          </w:r>
        </w:p>
      </w:tc>
      <w:tc>
        <w:tcPr>
          <w:tcW w:w="5380" w:type="dxa"/>
          <w:shd w:val="clear" w:color="auto" w:fill="auto"/>
        </w:tcPr>
        <w:p w:rsidR="00E75068" w:rsidRDefault="00E75068">
          <w:pPr>
            <w:pStyle w:val="Voettekst"/>
            <w:tabs>
              <w:tab w:val="center" w:pos="4536"/>
              <w:tab w:val="right" w:pos="9072"/>
            </w:tabs>
            <w:rPr>
              <w:rFonts w:cs="Arial"/>
              <w:sz w:val="16"/>
              <w:szCs w:val="16"/>
              <w:u w:val="single"/>
            </w:rPr>
          </w:pPr>
        </w:p>
      </w:tc>
    </w:tr>
    <w:tr w:rsidR="00E75068">
      <w:tc>
        <w:tcPr>
          <w:tcW w:w="4370" w:type="dxa"/>
          <w:shd w:val="clear" w:color="auto" w:fill="auto"/>
        </w:tcPr>
        <w:p w:rsidR="00E75068" w:rsidRDefault="00E75068">
          <w:pPr>
            <w:pStyle w:val="Voettekst"/>
            <w:tabs>
              <w:tab w:val="center" w:pos="4536"/>
              <w:tab w:val="right" w:pos="9072"/>
            </w:tabs>
            <w:rPr>
              <w:rFonts w:cs="Arial"/>
              <w:sz w:val="16"/>
              <w:szCs w:val="16"/>
            </w:rPr>
          </w:pPr>
        </w:p>
      </w:tc>
      <w:tc>
        <w:tcPr>
          <w:tcW w:w="5380" w:type="dxa"/>
          <w:shd w:val="clear" w:color="auto" w:fill="auto"/>
        </w:tcPr>
        <w:p w:rsidR="00E75068" w:rsidRDefault="00E75068">
          <w:pPr>
            <w:pStyle w:val="Voettekst"/>
            <w:tabs>
              <w:tab w:val="center" w:pos="4536"/>
              <w:tab w:val="right" w:pos="9072"/>
            </w:tabs>
            <w:rPr>
              <w:rFonts w:cs="Arial"/>
              <w:sz w:val="16"/>
              <w:szCs w:val="16"/>
            </w:rPr>
          </w:pPr>
        </w:p>
      </w:tc>
    </w:tr>
    <w:tr w:rsidR="00E75068">
      <w:tc>
        <w:tcPr>
          <w:tcW w:w="4370" w:type="dxa"/>
          <w:shd w:val="clear" w:color="auto" w:fill="auto"/>
        </w:tcPr>
        <w:p w:rsidR="00E75068" w:rsidRDefault="00E75068">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shd w:val="clear" w:color="auto" w:fill="auto"/>
        </w:tcPr>
        <w:p w:rsidR="00E75068" w:rsidRDefault="00E75068">
          <w:pPr>
            <w:pStyle w:val="Voettekst"/>
            <w:tabs>
              <w:tab w:val="center" w:pos="4536"/>
              <w:tab w:val="right" w:pos="9072"/>
            </w:tabs>
            <w:rPr>
              <w:rFonts w:cs="Arial"/>
              <w:sz w:val="16"/>
              <w:szCs w:val="16"/>
              <w:u w:val="single"/>
            </w:rPr>
          </w:pPr>
          <w:r>
            <w:rPr>
              <w:rFonts w:cs="Arial"/>
              <w:sz w:val="16"/>
              <w:szCs w:val="16"/>
              <w:u w:val="single"/>
            </w:rPr>
            <w:t>Raadsvergadering</w:t>
          </w:r>
        </w:p>
      </w:tc>
    </w:tr>
    <w:tr w:rsidR="00E75068">
      <w:tc>
        <w:tcPr>
          <w:tcW w:w="437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Afhandelingsvoorstel voor raad:</w:t>
          </w:r>
        </w:p>
      </w:tc>
      <w:tc>
        <w:tcPr>
          <w:tcW w:w="538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zonder hoofdelijke stemming</w:t>
          </w:r>
        </w:p>
      </w:tc>
    </w:tr>
    <w:tr w:rsidR="00E75068">
      <w:tc>
        <w:tcPr>
          <w:tcW w:w="437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hamerstuk</w:t>
          </w:r>
        </w:p>
      </w:tc>
      <w:tc>
        <w:tcPr>
          <w:tcW w:w="538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met algemene stemmen</w:t>
          </w:r>
        </w:p>
      </w:tc>
    </w:tr>
    <w:tr w:rsidR="00E75068">
      <w:tc>
        <w:tcPr>
          <w:tcW w:w="437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bespreekstuk</w:t>
          </w:r>
        </w:p>
      </w:tc>
      <w:tc>
        <w:tcPr>
          <w:tcW w:w="538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stemmen voor,          stemmen tegen</w:t>
          </w:r>
        </w:p>
      </w:tc>
    </w:tr>
    <w:tr w:rsidR="00E75068">
      <w:tc>
        <w:tcPr>
          <w:tcW w:w="437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anders, nl</w:t>
          </w:r>
        </w:p>
      </w:tc>
      <w:tc>
        <w:tcPr>
          <w:tcW w:w="538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aangenomen</w:t>
          </w:r>
        </w:p>
      </w:tc>
    </w:tr>
    <w:tr w:rsidR="00E75068">
      <w:tc>
        <w:tcPr>
          <w:tcW w:w="4370" w:type="dxa"/>
          <w:shd w:val="clear" w:color="auto" w:fill="auto"/>
        </w:tcPr>
        <w:p w:rsidR="00E75068" w:rsidRDefault="00E75068">
          <w:pPr>
            <w:pStyle w:val="Voettekst"/>
            <w:tabs>
              <w:tab w:val="center" w:pos="4536"/>
              <w:tab w:val="right" w:pos="9072"/>
            </w:tabs>
          </w:pPr>
        </w:p>
      </w:tc>
      <w:tc>
        <w:tcPr>
          <w:tcW w:w="5380" w:type="dxa"/>
          <w:shd w:val="clear" w:color="auto" w:fill="auto"/>
        </w:tcPr>
        <w:p w:rsidR="00E75068" w:rsidRDefault="00E75068">
          <w:pPr>
            <w:pStyle w:val="Voettekst"/>
            <w:tabs>
              <w:tab w:val="center" w:pos="4536"/>
              <w:tab w:val="right" w:pos="9072"/>
            </w:tabs>
            <w:rPr>
              <w:rFonts w:cs="Arial"/>
              <w:sz w:val="16"/>
              <w:szCs w:val="16"/>
            </w:rPr>
          </w:pPr>
          <w:r>
            <w:rPr>
              <w:rFonts w:cs="Arial"/>
              <w:sz w:val="16"/>
              <w:szCs w:val="16"/>
            </w:rPr>
            <w:t>0 verworpen</w:t>
          </w:r>
        </w:p>
      </w:tc>
    </w:tr>
  </w:tbl>
  <w:p w:rsidR="00E75068" w:rsidRDefault="00E75068">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068" w:rsidRDefault="00E75068">
      <w:r>
        <w:separator/>
      </w:r>
    </w:p>
  </w:footnote>
  <w:footnote w:type="continuationSeparator" w:id="0">
    <w:p w:rsidR="00E75068" w:rsidRDefault="00E75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68" w:rsidRDefault="00E750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68" w:rsidRDefault="00E750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37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1D5337"/>
    <w:multiLevelType w:val="multilevel"/>
    <w:tmpl w:val="0413001D"/>
    <w:lvl w:ilvl="0">
      <w:start w:val="1"/>
      <w:numFmt w:val="decimal"/>
      <w:lvlText w:val="%1)"/>
      <w:lvlJc w:val="left"/>
      <w:pPr>
        <w:ind w:left="1070" w:hanging="360"/>
      </w:p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2" w15:restartNumberingAfterBreak="0">
    <w:nsid w:val="168820D4"/>
    <w:multiLevelType w:val="multilevel"/>
    <w:tmpl w:val="5BF6767A"/>
    <w:lvl w:ilvl="0">
      <w:start w:val="1"/>
      <w:numFmt w:val="bullet"/>
      <w:lvlText w:val=""/>
      <w:lvlJc w:val="left"/>
      <w:pPr>
        <w:tabs>
          <w:tab w:val="num" w:pos="576"/>
        </w:tabs>
        <w:ind w:left="576" w:hanging="576"/>
      </w:pPr>
      <w:rPr>
        <w:rFonts w:ascii="Symbol" w:hAnsi="Symbol" w:cs="Symbol" w:hint="default"/>
      </w:rPr>
    </w:lvl>
    <w:lvl w:ilvl="1">
      <w:start w:val="1"/>
      <w:numFmt w:val="bullet"/>
      <w:lvlText w:val="◦"/>
      <w:lvlJc w:val="left"/>
      <w:pPr>
        <w:tabs>
          <w:tab w:val="num" w:pos="1152"/>
        </w:tabs>
        <w:ind w:left="1152" w:hanging="576"/>
      </w:pPr>
      <w:rPr>
        <w:rFonts w:ascii="OpenSymbol" w:hAnsi="OpenSymbol" w:cs="OpenSymbol" w:hint="default"/>
      </w:rPr>
    </w:lvl>
    <w:lvl w:ilvl="2">
      <w:start w:val="1"/>
      <w:numFmt w:val="bullet"/>
      <w:lvlText w:val="▪"/>
      <w:lvlJc w:val="left"/>
      <w:pPr>
        <w:tabs>
          <w:tab w:val="num" w:pos="1728"/>
        </w:tabs>
        <w:ind w:left="1728" w:hanging="576"/>
      </w:pPr>
      <w:rPr>
        <w:rFonts w:ascii="OpenSymbol" w:hAnsi="OpenSymbol" w:cs="OpenSymbol" w:hint="default"/>
      </w:rPr>
    </w:lvl>
    <w:lvl w:ilvl="3">
      <w:start w:val="1"/>
      <w:numFmt w:val="bullet"/>
      <w:lvlText w:val=""/>
      <w:lvlJc w:val="left"/>
      <w:pPr>
        <w:tabs>
          <w:tab w:val="num" w:pos="2304"/>
        </w:tabs>
        <w:ind w:left="2304" w:hanging="576"/>
      </w:pPr>
      <w:rPr>
        <w:rFonts w:ascii="Symbol" w:hAnsi="Symbol" w:cs="Symbol" w:hint="default"/>
      </w:rPr>
    </w:lvl>
    <w:lvl w:ilvl="4">
      <w:start w:val="1"/>
      <w:numFmt w:val="bullet"/>
      <w:lvlText w:val="◦"/>
      <w:lvlJc w:val="left"/>
      <w:pPr>
        <w:tabs>
          <w:tab w:val="num" w:pos="2880"/>
        </w:tabs>
        <w:ind w:left="2880" w:hanging="576"/>
      </w:pPr>
      <w:rPr>
        <w:rFonts w:ascii="OpenSymbol" w:hAnsi="OpenSymbol" w:cs="OpenSymbol" w:hint="default"/>
      </w:rPr>
    </w:lvl>
    <w:lvl w:ilvl="5">
      <w:start w:val="1"/>
      <w:numFmt w:val="bullet"/>
      <w:lvlText w:val="▪"/>
      <w:lvlJc w:val="left"/>
      <w:pPr>
        <w:tabs>
          <w:tab w:val="num" w:pos="3456"/>
        </w:tabs>
        <w:ind w:left="3456" w:hanging="576"/>
      </w:pPr>
      <w:rPr>
        <w:rFonts w:ascii="OpenSymbol" w:hAnsi="OpenSymbol" w:cs="OpenSymbol" w:hint="default"/>
      </w:rPr>
    </w:lvl>
    <w:lvl w:ilvl="6">
      <w:start w:val="1"/>
      <w:numFmt w:val="bullet"/>
      <w:lvlText w:val=""/>
      <w:lvlJc w:val="left"/>
      <w:pPr>
        <w:tabs>
          <w:tab w:val="num" w:pos="4032"/>
        </w:tabs>
        <w:ind w:left="4032" w:hanging="576"/>
      </w:pPr>
      <w:rPr>
        <w:rFonts w:ascii="Symbol" w:hAnsi="Symbol" w:cs="Symbol" w:hint="default"/>
      </w:rPr>
    </w:lvl>
    <w:lvl w:ilvl="7">
      <w:start w:val="1"/>
      <w:numFmt w:val="bullet"/>
      <w:lvlText w:val="◦"/>
      <w:lvlJc w:val="left"/>
      <w:pPr>
        <w:tabs>
          <w:tab w:val="num" w:pos="4608"/>
        </w:tabs>
        <w:ind w:left="4608" w:hanging="576"/>
      </w:pPr>
      <w:rPr>
        <w:rFonts w:ascii="OpenSymbol" w:hAnsi="OpenSymbol" w:cs="OpenSymbol" w:hint="default"/>
      </w:rPr>
    </w:lvl>
    <w:lvl w:ilvl="8">
      <w:start w:val="1"/>
      <w:numFmt w:val="bullet"/>
      <w:lvlText w:val="▪"/>
      <w:lvlJc w:val="left"/>
      <w:pPr>
        <w:tabs>
          <w:tab w:val="num" w:pos="5184"/>
        </w:tabs>
        <w:ind w:left="5184" w:hanging="576"/>
      </w:pPr>
      <w:rPr>
        <w:rFonts w:ascii="OpenSymbol" w:hAnsi="OpenSymbol" w:cs="OpenSymbol" w:hint="default"/>
      </w:rPr>
    </w:lvl>
  </w:abstractNum>
  <w:abstractNum w:abstractNumId="3" w15:restartNumberingAfterBreak="0">
    <w:nsid w:val="183323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49372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613F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A64C47"/>
    <w:multiLevelType w:val="multilevel"/>
    <w:tmpl w:val="2F6E0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2E263C4"/>
    <w:multiLevelType w:val="multilevel"/>
    <w:tmpl w:val="B41AD812"/>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488273D"/>
    <w:multiLevelType w:val="multilevel"/>
    <w:tmpl w:val="32B4714E"/>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AAA73B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EE01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0915E8C"/>
    <w:multiLevelType w:val="multilevel"/>
    <w:tmpl w:val="C52CE328"/>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86E15B1"/>
    <w:multiLevelType w:val="multilevel"/>
    <w:tmpl w:val="B41AD812"/>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5626F0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2"/>
  </w:num>
  <w:num w:numId="3">
    <w:abstractNumId w:val="11"/>
  </w:num>
  <w:num w:numId="4">
    <w:abstractNumId w:val="2"/>
  </w:num>
  <w:num w:numId="5">
    <w:abstractNumId w:val="8"/>
  </w:num>
  <w:num w:numId="6">
    <w:abstractNumId w:val="13"/>
  </w:num>
  <w:num w:numId="7">
    <w:abstractNumId w:val="1"/>
  </w:num>
  <w:num w:numId="8">
    <w:abstractNumId w:val="7"/>
  </w:num>
  <w:num w:numId="9">
    <w:abstractNumId w:val="4"/>
  </w:num>
  <w:num w:numId="10">
    <w:abstractNumId w:val="0"/>
  </w:num>
  <w:num w:numId="11">
    <w:abstractNumId w:val="9"/>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5B06"/>
    <w:rsid w:val="00051FAC"/>
    <w:rsid w:val="001B158C"/>
    <w:rsid w:val="00235D8D"/>
    <w:rsid w:val="003C5C46"/>
    <w:rsid w:val="004C0FC1"/>
    <w:rsid w:val="004E52B6"/>
    <w:rsid w:val="004E6EBA"/>
    <w:rsid w:val="008E4D14"/>
    <w:rsid w:val="00961FF1"/>
    <w:rsid w:val="00AA1AF9"/>
    <w:rsid w:val="00B02043"/>
    <w:rsid w:val="00C71D97"/>
    <w:rsid w:val="00C97FA2"/>
    <w:rsid w:val="00E25B06"/>
    <w:rsid w:val="00E75068"/>
    <w:rsid w:val="00F13565"/>
    <w:rsid w:val="00FC1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5FC6"/>
  <w15:docId w15:val="{6CFA1C21-3CA6-487B-B3F3-3EA12ED9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basedOn w:val="Standaardalinea-lettertype"/>
    <w:qFormat/>
    <w:rPr>
      <w:color w:val="0563C1"/>
      <w:u w:val="single"/>
    </w:rPr>
  </w:style>
  <w:style w:type="character" w:styleId="Onopgelostemelding">
    <w:name w:val="Unresolved Mention"/>
    <w:basedOn w:val="Standaardalinea-lettertype"/>
    <w:qFormat/>
    <w:rPr>
      <w:color w:val="605E5C"/>
      <w:highlight w:val="lightGray"/>
    </w:rPr>
  </w:style>
  <w:style w:type="character" w:customStyle="1" w:styleId="InternetLink">
    <w:name w:val="Internet Link"/>
    <w:rPr>
      <w:color w:val="000080"/>
      <w:u w:val="single"/>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customStyle="1" w:styleId="VisitedInternetLink">
    <w:name w:val="Visited Internet Link"/>
    <w:rPr>
      <w:color w:val="800000"/>
      <w:u w:val="single"/>
    </w:rPr>
  </w:style>
  <w:style w:type="character" w:customStyle="1" w:styleId="Numbering20Symbols">
    <w:name w:val="Numbering_20_Symbols"/>
    <w:qFormat/>
  </w:style>
  <w:style w:type="character" w:customStyle="1" w:styleId="Bullet20Symbols">
    <w:name w:val="Bullet_20_Symbols"/>
    <w:qFormat/>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0935">
      <w:bodyDiv w:val="1"/>
      <w:marLeft w:val="0"/>
      <w:marRight w:val="0"/>
      <w:marTop w:val="0"/>
      <w:marBottom w:val="0"/>
      <w:divBdr>
        <w:top w:val="none" w:sz="0" w:space="0" w:color="auto"/>
        <w:left w:val="none" w:sz="0" w:space="0" w:color="auto"/>
        <w:bottom w:val="none" w:sz="0" w:space="0" w:color="auto"/>
        <w:right w:val="none" w:sz="0" w:space="0" w:color="auto"/>
      </w:divBdr>
    </w:div>
    <w:div w:id="316149942">
      <w:bodyDiv w:val="1"/>
      <w:marLeft w:val="0"/>
      <w:marRight w:val="0"/>
      <w:marTop w:val="0"/>
      <w:marBottom w:val="0"/>
      <w:divBdr>
        <w:top w:val="none" w:sz="0" w:space="0" w:color="auto"/>
        <w:left w:val="none" w:sz="0" w:space="0" w:color="auto"/>
        <w:bottom w:val="none" w:sz="0" w:space="0" w:color="auto"/>
        <w:right w:val="none" w:sz="0" w:space="0" w:color="auto"/>
      </w:divBdr>
    </w:div>
    <w:div w:id="807673381">
      <w:bodyDiv w:val="1"/>
      <w:marLeft w:val="0"/>
      <w:marRight w:val="0"/>
      <w:marTop w:val="0"/>
      <w:marBottom w:val="0"/>
      <w:divBdr>
        <w:top w:val="none" w:sz="0" w:space="0" w:color="auto"/>
        <w:left w:val="none" w:sz="0" w:space="0" w:color="auto"/>
        <w:bottom w:val="none" w:sz="0" w:space="0" w:color="auto"/>
        <w:right w:val="none" w:sz="0" w:space="0" w:color="auto"/>
      </w:divBdr>
    </w:div>
    <w:div w:id="1341546072">
      <w:bodyDiv w:val="1"/>
      <w:marLeft w:val="0"/>
      <w:marRight w:val="0"/>
      <w:marTop w:val="0"/>
      <w:marBottom w:val="0"/>
      <w:divBdr>
        <w:top w:val="none" w:sz="0" w:space="0" w:color="auto"/>
        <w:left w:val="none" w:sz="0" w:space="0" w:color="auto"/>
        <w:bottom w:val="none" w:sz="0" w:space="0" w:color="auto"/>
        <w:right w:val="none" w:sz="0" w:space="0" w:color="auto"/>
      </w:divBdr>
    </w:div>
    <w:div w:id="1492597812">
      <w:bodyDiv w:val="1"/>
      <w:marLeft w:val="0"/>
      <w:marRight w:val="0"/>
      <w:marTop w:val="0"/>
      <w:marBottom w:val="0"/>
      <w:divBdr>
        <w:top w:val="none" w:sz="0" w:space="0" w:color="auto"/>
        <w:left w:val="none" w:sz="0" w:space="0" w:color="auto"/>
        <w:bottom w:val="none" w:sz="0" w:space="0" w:color="auto"/>
        <w:right w:val="none" w:sz="0" w:space="0" w:color="auto"/>
      </w:divBdr>
    </w:div>
    <w:div w:id="1676347563">
      <w:bodyDiv w:val="1"/>
      <w:marLeft w:val="0"/>
      <w:marRight w:val="0"/>
      <w:marTop w:val="0"/>
      <w:marBottom w:val="0"/>
      <w:divBdr>
        <w:top w:val="none" w:sz="0" w:space="0" w:color="auto"/>
        <w:left w:val="none" w:sz="0" w:space="0" w:color="auto"/>
        <w:bottom w:val="none" w:sz="0" w:space="0" w:color="auto"/>
        <w:right w:val="none" w:sz="0" w:space="0" w:color="auto"/>
      </w:divBdr>
    </w:div>
    <w:div w:id="168462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8</Pages>
  <Words>2826</Words>
  <Characters>15543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5</cp:revision>
  <dcterms:created xsi:type="dcterms:W3CDTF">2021-09-30T07:12:00Z</dcterms:created>
  <dcterms:modified xsi:type="dcterms:W3CDTF">2021-10-01T12:27:00Z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