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nil"/>
          <w:left w:val="nil"/>
          <w:bottom w:val="nil"/>
          <w:right w:val="nil"/>
          <w:insideH w:val="nil"/>
          <w:insideV w:val="nil"/>
        </w:tblBorders>
        <w:tblLook w:val="04A0" w:firstRow="1" w:lastRow="0" w:firstColumn="1" w:lastColumn="0" w:noHBand="0" w:noVBand="1"/>
      </w:tblPr>
      <w:tblGrid>
        <w:gridCol w:w="2457"/>
        <w:gridCol w:w="286"/>
        <w:gridCol w:w="3766"/>
        <w:gridCol w:w="706"/>
        <w:gridCol w:w="283"/>
        <w:gridCol w:w="2249"/>
      </w:tblGrid>
      <w:tr w:rsidR="00BF4F7B" w14:paraId="608BC2AF" w14:textId="77777777">
        <w:tc>
          <w:tcPr>
            <w:tcW w:w="2457" w:type="dxa"/>
            <w:shd w:val="clear" w:color="auto" w:fill="auto"/>
          </w:tcPr>
          <w:p w14:paraId="6892B44C" w14:textId="77777777" w:rsidR="0071004A" w:rsidRDefault="00B912B2" w:rsidP="00C914BB">
            <w:pPr>
              <w:rPr>
                <w:rFonts w:cs="Arial"/>
                <w:lang w:eastAsia="zh-CN" w:bidi="hi-IN"/>
              </w:rPr>
            </w:pPr>
            <w:r>
              <w:rPr>
                <w:rFonts w:cs="Arial"/>
                <w:lang w:eastAsia="zh-CN" w:bidi="hi-IN"/>
              </w:rPr>
              <w:t>Zaaknummer</w:t>
            </w:r>
          </w:p>
        </w:tc>
        <w:tc>
          <w:tcPr>
            <w:tcW w:w="286" w:type="dxa"/>
            <w:shd w:val="clear" w:color="auto" w:fill="auto"/>
          </w:tcPr>
          <w:p w14:paraId="5F1BC56A" w14:textId="77777777" w:rsidR="0071004A" w:rsidRDefault="00B912B2" w:rsidP="00C914BB">
            <w:pPr>
              <w:rPr>
                <w:rFonts w:cs="Arial"/>
                <w:lang w:eastAsia="zh-CN" w:bidi="hi-IN"/>
              </w:rPr>
            </w:pPr>
            <w:r>
              <w:rPr>
                <w:rFonts w:cs="Arial"/>
                <w:lang w:eastAsia="zh-CN" w:bidi="hi-IN"/>
              </w:rPr>
              <w:t>:</w:t>
            </w:r>
          </w:p>
        </w:tc>
        <w:tc>
          <w:tcPr>
            <w:tcW w:w="7004" w:type="dxa"/>
            <w:gridSpan w:val="4"/>
            <w:shd w:val="clear" w:color="auto" w:fill="auto"/>
          </w:tcPr>
          <w:p w14:paraId="47714C5F" w14:textId="77777777" w:rsidR="0071004A" w:rsidRDefault="00B912B2" w:rsidP="00C914BB">
            <w:pPr>
              <w:rPr>
                <w:rFonts w:cs="Arial"/>
                <w:lang w:eastAsia="zh-CN" w:bidi="hi-IN"/>
              </w:rPr>
            </w:pPr>
            <w:r>
              <w:rPr>
                <w:rFonts w:eastAsia="Arial" w:cs="Arial"/>
                <w:lang w:eastAsia="zh-CN" w:bidi="hi-IN"/>
              </w:rPr>
              <w:t>934185</w:t>
            </w:r>
          </w:p>
        </w:tc>
      </w:tr>
      <w:tr w:rsidR="00BF4F7B" w14:paraId="345D667D" w14:textId="77777777">
        <w:tc>
          <w:tcPr>
            <w:tcW w:w="2457" w:type="dxa"/>
            <w:shd w:val="clear" w:color="auto" w:fill="auto"/>
          </w:tcPr>
          <w:p w14:paraId="6CB89C2C" w14:textId="77777777" w:rsidR="0071004A" w:rsidRDefault="00B912B2" w:rsidP="00C914BB">
            <w:pPr>
              <w:rPr>
                <w:rFonts w:cs="Arial"/>
                <w:lang w:eastAsia="zh-CN" w:bidi="hi-IN"/>
              </w:rPr>
            </w:pPr>
            <w:r>
              <w:rPr>
                <w:rFonts w:cs="Arial"/>
                <w:lang w:eastAsia="zh-CN" w:bidi="hi-IN"/>
              </w:rPr>
              <w:t>Raadsvergadering</w:t>
            </w:r>
          </w:p>
        </w:tc>
        <w:tc>
          <w:tcPr>
            <w:tcW w:w="286" w:type="dxa"/>
            <w:shd w:val="clear" w:color="auto" w:fill="auto"/>
          </w:tcPr>
          <w:p w14:paraId="014C33B5" w14:textId="77777777" w:rsidR="0071004A" w:rsidRDefault="00B912B2" w:rsidP="00C914BB">
            <w:pPr>
              <w:rPr>
                <w:rFonts w:cs="Arial"/>
                <w:lang w:eastAsia="zh-CN" w:bidi="hi-IN"/>
              </w:rPr>
            </w:pPr>
            <w:r>
              <w:rPr>
                <w:rFonts w:cs="Arial"/>
                <w:lang w:eastAsia="zh-CN" w:bidi="hi-IN"/>
              </w:rPr>
              <w:t>:</w:t>
            </w:r>
          </w:p>
        </w:tc>
        <w:tc>
          <w:tcPr>
            <w:tcW w:w="7004" w:type="dxa"/>
            <w:gridSpan w:val="4"/>
            <w:shd w:val="clear" w:color="auto" w:fill="auto"/>
          </w:tcPr>
          <w:p w14:paraId="636853A2" w14:textId="77777777" w:rsidR="0071004A" w:rsidRDefault="00B912B2" w:rsidP="00C914BB">
            <w:pPr>
              <w:rPr>
                <w:rFonts w:cs="Arial"/>
                <w:lang w:eastAsia="zh-CN" w:bidi="hi-IN"/>
              </w:rPr>
            </w:pPr>
            <w:r>
              <w:rPr>
                <w:rFonts w:eastAsia="Arial" w:cs="Arial"/>
                <w:lang w:eastAsia="zh-CN" w:bidi="hi-IN"/>
              </w:rPr>
              <w:t>2 juli 2024</w:t>
            </w:r>
          </w:p>
        </w:tc>
      </w:tr>
      <w:tr w:rsidR="00BF4F7B" w14:paraId="6BCCA0C0" w14:textId="77777777">
        <w:tc>
          <w:tcPr>
            <w:tcW w:w="2457" w:type="dxa"/>
            <w:shd w:val="clear" w:color="auto" w:fill="auto"/>
          </w:tcPr>
          <w:p w14:paraId="7E319948" w14:textId="77777777" w:rsidR="0071004A" w:rsidRDefault="0071004A" w:rsidP="00C914BB">
            <w:pPr>
              <w:rPr>
                <w:rFonts w:cs="Arial"/>
                <w:lang w:eastAsia="zh-CN" w:bidi="hi-IN"/>
              </w:rPr>
            </w:pPr>
          </w:p>
        </w:tc>
        <w:tc>
          <w:tcPr>
            <w:tcW w:w="286" w:type="dxa"/>
            <w:shd w:val="clear" w:color="auto" w:fill="auto"/>
          </w:tcPr>
          <w:p w14:paraId="4FD2511F" w14:textId="77777777" w:rsidR="0071004A" w:rsidRDefault="0071004A" w:rsidP="00C914BB">
            <w:pPr>
              <w:rPr>
                <w:rFonts w:cs="Arial"/>
                <w:lang w:eastAsia="zh-CN" w:bidi="hi-IN"/>
              </w:rPr>
            </w:pPr>
          </w:p>
        </w:tc>
        <w:tc>
          <w:tcPr>
            <w:tcW w:w="7004" w:type="dxa"/>
            <w:gridSpan w:val="4"/>
            <w:shd w:val="clear" w:color="auto" w:fill="auto"/>
          </w:tcPr>
          <w:p w14:paraId="527EF6BD" w14:textId="77777777" w:rsidR="0071004A" w:rsidRDefault="0071004A" w:rsidP="00C914BB">
            <w:pPr>
              <w:rPr>
                <w:rFonts w:cs="Arial"/>
                <w:lang w:eastAsia="zh-CN" w:bidi="hi-IN"/>
              </w:rPr>
            </w:pPr>
          </w:p>
        </w:tc>
      </w:tr>
      <w:tr w:rsidR="00BF4F7B" w14:paraId="1CEB27AF" w14:textId="77777777">
        <w:tc>
          <w:tcPr>
            <w:tcW w:w="2457" w:type="dxa"/>
            <w:shd w:val="clear" w:color="auto" w:fill="auto"/>
          </w:tcPr>
          <w:p w14:paraId="243FDBC4" w14:textId="77777777" w:rsidR="0071004A" w:rsidRDefault="00B912B2" w:rsidP="00C914BB">
            <w:pPr>
              <w:rPr>
                <w:rFonts w:cs="Arial"/>
                <w:lang w:eastAsia="zh-CN" w:bidi="hi-IN"/>
              </w:rPr>
            </w:pPr>
            <w:r>
              <w:rPr>
                <w:rFonts w:cs="Arial"/>
                <w:lang w:eastAsia="zh-CN" w:bidi="hi-IN"/>
              </w:rPr>
              <w:t>Onderwerp</w:t>
            </w:r>
          </w:p>
        </w:tc>
        <w:tc>
          <w:tcPr>
            <w:tcW w:w="286" w:type="dxa"/>
            <w:shd w:val="clear" w:color="auto" w:fill="auto"/>
          </w:tcPr>
          <w:p w14:paraId="40DEA4FA" w14:textId="77777777" w:rsidR="0071004A" w:rsidRDefault="00B912B2" w:rsidP="00C914BB">
            <w:pPr>
              <w:rPr>
                <w:rFonts w:cs="Arial"/>
                <w:lang w:eastAsia="zh-CN" w:bidi="hi-IN"/>
              </w:rPr>
            </w:pPr>
            <w:r>
              <w:rPr>
                <w:rFonts w:cs="Arial"/>
                <w:lang w:eastAsia="zh-CN" w:bidi="hi-IN"/>
              </w:rPr>
              <w:t>:</w:t>
            </w:r>
          </w:p>
        </w:tc>
        <w:tc>
          <w:tcPr>
            <w:tcW w:w="7004" w:type="dxa"/>
            <w:gridSpan w:val="4"/>
            <w:shd w:val="clear" w:color="auto" w:fill="auto"/>
          </w:tcPr>
          <w:p w14:paraId="386BDC31" w14:textId="0F82F34B" w:rsidR="0071004A" w:rsidRDefault="00B912B2" w:rsidP="00C914BB">
            <w:pPr>
              <w:rPr>
                <w:rFonts w:cs="Arial"/>
                <w:lang w:eastAsia="zh-CN" w:bidi="hi-IN"/>
              </w:rPr>
            </w:pPr>
            <w:r>
              <w:rPr>
                <w:rFonts w:eastAsia="Arial" w:cs="Arial"/>
                <w:lang w:eastAsia="zh-CN" w:bidi="hi-IN"/>
              </w:rPr>
              <w:t>Perspectiefnota 2025</w:t>
            </w:r>
          </w:p>
        </w:tc>
      </w:tr>
      <w:tr w:rsidR="00BF4F7B" w14:paraId="33E53909" w14:textId="77777777">
        <w:tc>
          <w:tcPr>
            <w:tcW w:w="2457" w:type="dxa"/>
            <w:shd w:val="clear" w:color="auto" w:fill="auto"/>
          </w:tcPr>
          <w:p w14:paraId="045E1CED" w14:textId="77777777" w:rsidR="0071004A" w:rsidRDefault="0071004A" w:rsidP="00C914BB">
            <w:pPr>
              <w:rPr>
                <w:rFonts w:cs="Arial"/>
                <w:lang w:eastAsia="zh-CN" w:bidi="hi-IN"/>
              </w:rPr>
            </w:pPr>
          </w:p>
        </w:tc>
        <w:tc>
          <w:tcPr>
            <w:tcW w:w="286" w:type="dxa"/>
            <w:shd w:val="clear" w:color="auto" w:fill="auto"/>
          </w:tcPr>
          <w:p w14:paraId="298853FD" w14:textId="77777777" w:rsidR="0071004A" w:rsidRDefault="0071004A" w:rsidP="00C914BB">
            <w:pPr>
              <w:rPr>
                <w:rFonts w:cs="Arial"/>
                <w:lang w:eastAsia="zh-CN" w:bidi="hi-IN"/>
              </w:rPr>
            </w:pPr>
          </w:p>
        </w:tc>
        <w:tc>
          <w:tcPr>
            <w:tcW w:w="7004" w:type="dxa"/>
            <w:gridSpan w:val="4"/>
            <w:shd w:val="clear" w:color="auto" w:fill="auto"/>
          </w:tcPr>
          <w:p w14:paraId="6E0AEAF9" w14:textId="77777777" w:rsidR="0071004A" w:rsidRDefault="0071004A" w:rsidP="00C914BB">
            <w:pPr>
              <w:rPr>
                <w:rFonts w:cs="Arial"/>
                <w:lang w:eastAsia="zh-CN" w:bidi="hi-IN"/>
              </w:rPr>
            </w:pPr>
          </w:p>
        </w:tc>
      </w:tr>
      <w:tr w:rsidR="00BF4F7B" w14:paraId="6CDB61AD" w14:textId="77777777">
        <w:tc>
          <w:tcPr>
            <w:tcW w:w="2457" w:type="dxa"/>
            <w:shd w:val="clear" w:color="auto" w:fill="auto"/>
          </w:tcPr>
          <w:p w14:paraId="7BC9DB5E" w14:textId="77777777" w:rsidR="0071004A" w:rsidRDefault="00B912B2" w:rsidP="00C914BB">
            <w:pPr>
              <w:rPr>
                <w:rFonts w:cs="Arial"/>
                <w:lang w:eastAsia="zh-CN" w:bidi="hi-IN"/>
              </w:rPr>
            </w:pPr>
            <w:r>
              <w:rPr>
                <w:rFonts w:cs="Arial"/>
                <w:lang w:eastAsia="zh-CN" w:bidi="hi-IN"/>
              </w:rPr>
              <w:t>Collegevergadering</w:t>
            </w:r>
          </w:p>
        </w:tc>
        <w:tc>
          <w:tcPr>
            <w:tcW w:w="286" w:type="dxa"/>
            <w:shd w:val="clear" w:color="auto" w:fill="auto"/>
          </w:tcPr>
          <w:p w14:paraId="09F1A1D5" w14:textId="77777777" w:rsidR="0071004A" w:rsidRDefault="00B912B2" w:rsidP="00C914BB">
            <w:pPr>
              <w:rPr>
                <w:rFonts w:cs="Arial"/>
                <w:lang w:eastAsia="zh-CN" w:bidi="hi-IN"/>
              </w:rPr>
            </w:pPr>
            <w:r>
              <w:rPr>
                <w:rFonts w:cs="Arial"/>
                <w:lang w:eastAsia="zh-CN" w:bidi="hi-IN"/>
              </w:rPr>
              <w:t>:</w:t>
            </w:r>
          </w:p>
        </w:tc>
        <w:tc>
          <w:tcPr>
            <w:tcW w:w="7004" w:type="dxa"/>
            <w:gridSpan w:val="4"/>
            <w:shd w:val="clear" w:color="auto" w:fill="auto"/>
          </w:tcPr>
          <w:p w14:paraId="15DA2573" w14:textId="77777777" w:rsidR="0071004A" w:rsidRDefault="00B912B2" w:rsidP="00C914BB">
            <w:pPr>
              <w:rPr>
                <w:rFonts w:cs="Arial"/>
                <w:lang w:eastAsia="zh-CN" w:bidi="hi-IN"/>
              </w:rPr>
            </w:pPr>
            <w:r>
              <w:rPr>
                <w:rFonts w:eastAsia="Arial" w:cs="Arial"/>
                <w:lang w:eastAsia="zh-CN" w:bidi="hi-IN"/>
              </w:rPr>
              <w:t>4 juni 2024</w:t>
            </w:r>
          </w:p>
        </w:tc>
      </w:tr>
      <w:tr w:rsidR="00BF4F7B" w14:paraId="6FFE70AA" w14:textId="77777777">
        <w:tc>
          <w:tcPr>
            <w:tcW w:w="2457" w:type="dxa"/>
            <w:shd w:val="clear" w:color="auto" w:fill="auto"/>
          </w:tcPr>
          <w:p w14:paraId="373F0CD4" w14:textId="77777777" w:rsidR="0071004A" w:rsidRDefault="00B912B2" w:rsidP="00C914BB">
            <w:pPr>
              <w:rPr>
                <w:rFonts w:cs="Arial"/>
                <w:lang w:eastAsia="zh-CN" w:bidi="hi-IN"/>
              </w:rPr>
            </w:pPr>
            <w:r>
              <w:rPr>
                <w:rFonts w:cs="Arial"/>
                <w:lang w:eastAsia="zh-CN" w:bidi="hi-IN"/>
              </w:rPr>
              <w:t>Portefeuillehouder</w:t>
            </w:r>
          </w:p>
        </w:tc>
        <w:tc>
          <w:tcPr>
            <w:tcW w:w="286" w:type="dxa"/>
            <w:shd w:val="clear" w:color="auto" w:fill="auto"/>
          </w:tcPr>
          <w:p w14:paraId="08DBF8E9" w14:textId="77777777" w:rsidR="0071004A" w:rsidRDefault="00B912B2" w:rsidP="00C914BB">
            <w:pPr>
              <w:rPr>
                <w:rFonts w:cs="Arial"/>
                <w:lang w:eastAsia="zh-CN" w:bidi="hi-IN"/>
              </w:rPr>
            </w:pPr>
            <w:r>
              <w:rPr>
                <w:rFonts w:cs="Arial"/>
                <w:lang w:eastAsia="zh-CN" w:bidi="hi-IN"/>
              </w:rPr>
              <w:t>:</w:t>
            </w:r>
          </w:p>
        </w:tc>
        <w:tc>
          <w:tcPr>
            <w:tcW w:w="7004" w:type="dxa"/>
            <w:gridSpan w:val="4"/>
            <w:shd w:val="clear" w:color="auto" w:fill="auto"/>
          </w:tcPr>
          <w:p w14:paraId="79E8B897" w14:textId="77777777" w:rsidR="0071004A" w:rsidRDefault="00B912B2" w:rsidP="00C914BB">
            <w:pPr>
              <w:rPr>
                <w:rFonts w:cs="Arial"/>
                <w:lang w:eastAsia="zh-CN" w:bidi="hi-IN"/>
              </w:rPr>
            </w:pPr>
            <w:r>
              <w:rPr>
                <w:rFonts w:eastAsia="Arial" w:cs="Arial"/>
                <w:lang w:eastAsia="zh-CN" w:bidi="hi-IN"/>
              </w:rPr>
              <w:t>Wethouder J. van der Noordt</w:t>
            </w:r>
          </w:p>
        </w:tc>
      </w:tr>
      <w:tr w:rsidR="00EB1533" w14:paraId="0C74A0D5" w14:textId="77777777">
        <w:tc>
          <w:tcPr>
            <w:tcW w:w="2457" w:type="dxa"/>
            <w:shd w:val="clear" w:color="auto" w:fill="auto"/>
          </w:tcPr>
          <w:p w14:paraId="0F3514AF" w14:textId="77777777" w:rsidR="0071004A" w:rsidRDefault="00B912B2" w:rsidP="00C914BB">
            <w:pPr>
              <w:rPr>
                <w:rFonts w:cs="Arial"/>
                <w:lang w:eastAsia="zh-CN" w:bidi="hi-IN"/>
              </w:rPr>
            </w:pPr>
            <w:r>
              <w:rPr>
                <w:rFonts w:cs="Arial"/>
                <w:lang w:eastAsia="zh-CN" w:bidi="hi-IN"/>
              </w:rPr>
              <w:t>Steller</w:t>
            </w:r>
          </w:p>
        </w:tc>
        <w:tc>
          <w:tcPr>
            <w:tcW w:w="286" w:type="dxa"/>
            <w:shd w:val="clear" w:color="auto" w:fill="auto"/>
          </w:tcPr>
          <w:p w14:paraId="026738D9" w14:textId="77777777" w:rsidR="0071004A" w:rsidRDefault="00B912B2" w:rsidP="00C914BB">
            <w:pPr>
              <w:rPr>
                <w:rFonts w:cs="Arial"/>
                <w:lang w:eastAsia="zh-CN" w:bidi="hi-IN"/>
              </w:rPr>
            </w:pPr>
            <w:r>
              <w:rPr>
                <w:rFonts w:cs="Arial"/>
                <w:lang w:eastAsia="zh-CN" w:bidi="hi-IN"/>
              </w:rPr>
              <w:t>:</w:t>
            </w:r>
          </w:p>
        </w:tc>
        <w:tc>
          <w:tcPr>
            <w:tcW w:w="3766" w:type="dxa"/>
            <w:shd w:val="clear" w:color="auto" w:fill="auto"/>
          </w:tcPr>
          <w:p w14:paraId="4CFC83F2" w14:textId="77777777" w:rsidR="0071004A" w:rsidRDefault="00B912B2" w:rsidP="00C914BB">
            <w:pPr>
              <w:rPr>
                <w:rFonts w:cs="Arial"/>
                <w:lang w:eastAsia="zh-CN" w:bidi="hi-IN"/>
              </w:rPr>
            </w:pPr>
            <w:r>
              <w:rPr>
                <w:rFonts w:eastAsia="Arial" w:cs="Arial"/>
                <w:lang w:eastAsia="zh-CN" w:bidi="hi-IN"/>
              </w:rPr>
              <w:t>Eric</w:t>
            </w:r>
            <w:r>
              <w:rPr>
                <w:rFonts w:cs="Arial"/>
                <w:lang w:eastAsia="zh-CN" w:bidi="hi-IN"/>
              </w:rPr>
              <w:t xml:space="preserve"> </w:t>
            </w:r>
            <w:r>
              <w:rPr>
                <w:rFonts w:eastAsia="Arial" w:cs="Arial"/>
                <w:lang w:eastAsia="zh-CN" w:bidi="hi-IN"/>
              </w:rPr>
              <w:t>Gussekloo</w:t>
            </w:r>
          </w:p>
          <w:p w14:paraId="0E5EADB7" w14:textId="77777777" w:rsidR="0071004A" w:rsidRDefault="00B912B2" w:rsidP="00C914BB">
            <w:pPr>
              <w:rPr>
                <w:rFonts w:cs="Arial"/>
                <w:lang w:eastAsia="zh-CN" w:bidi="hi-IN"/>
              </w:rPr>
            </w:pPr>
            <w:r>
              <w:rPr>
                <w:rFonts w:eastAsia="Arial" w:cs="Arial"/>
                <w:lang w:eastAsia="zh-CN" w:bidi="hi-IN"/>
              </w:rPr>
              <w:t>Team Financieel beleid</w:t>
            </w:r>
          </w:p>
        </w:tc>
        <w:tc>
          <w:tcPr>
            <w:tcW w:w="706" w:type="dxa"/>
            <w:shd w:val="clear" w:color="auto" w:fill="auto"/>
          </w:tcPr>
          <w:p w14:paraId="613B04F1" w14:textId="77777777" w:rsidR="0071004A" w:rsidRDefault="00B912B2" w:rsidP="00C914BB">
            <w:pPr>
              <w:rPr>
                <w:rFonts w:cs="Arial"/>
                <w:lang w:eastAsia="zh-CN" w:bidi="hi-IN"/>
              </w:rPr>
            </w:pPr>
            <w:r>
              <w:rPr>
                <w:rFonts w:cs="Arial"/>
                <w:lang w:eastAsia="zh-CN" w:bidi="hi-IN"/>
              </w:rPr>
              <w:t>tel.</w:t>
            </w:r>
          </w:p>
        </w:tc>
        <w:tc>
          <w:tcPr>
            <w:tcW w:w="283" w:type="dxa"/>
            <w:shd w:val="clear" w:color="auto" w:fill="auto"/>
          </w:tcPr>
          <w:p w14:paraId="30398BFC" w14:textId="77777777" w:rsidR="0071004A" w:rsidRDefault="00B912B2" w:rsidP="00C914BB">
            <w:pPr>
              <w:rPr>
                <w:rFonts w:cs="Arial"/>
                <w:lang w:eastAsia="zh-CN" w:bidi="hi-IN"/>
              </w:rPr>
            </w:pPr>
            <w:r>
              <w:rPr>
                <w:rFonts w:cs="Arial"/>
                <w:lang w:eastAsia="zh-CN" w:bidi="hi-IN"/>
              </w:rPr>
              <w:t>:</w:t>
            </w:r>
          </w:p>
        </w:tc>
        <w:tc>
          <w:tcPr>
            <w:tcW w:w="2249" w:type="dxa"/>
            <w:shd w:val="clear" w:color="auto" w:fill="auto"/>
          </w:tcPr>
          <w:p w14:paraId="2ABC14BF" w14:textId="58A2D3AA" w:rsidR="0071004A" w:rsidRDefault="00B912B2" w:rsidP="00C914BB">
            <w:pPr>
              <w:rPr>
                <w:rFonts w:cs="Arial"/>
                <w:lang w:eastAsia="zh-CN" w:bidi="hi-IN"/>
              </w:rPr>
            </w:pPr>
            <w:r>
              <w:rPr>
                <w:rFonts w:cs="Arial"/>
                <w:lang w:eastAsia="zh-CN" w:bidi="hi-IN"/>
              </w:rPr>
              <w:t>0545-250250</w:t>
            </w:r>
          </w:p>
        </w:tc>
      </w:tr>
    </w:tbl>
    <w:p w14:paraId="5C075D66" w14:textId="77777777" w:rsidR="00273D55" w:rsidRDefault="00273D55" w:rsidP="00553314">
      <w:pPr>
        <w:suppressAutoHyphens/>
        <w:autoSpaceDE w:val="0"/>
        <w:autoSpaceDN w:val="0"/>
        <w:adjustRightInd w:val="0"/>
        <w:textAlignment w:val="baseline"/>
        <w:rPr>
          <w:rFonts w:cs="Arial"/>
          <w:kern w:val="1"/>
          <w:lang w:eastAsia="zh-CN" w:bidi="hi-IN"/>
        </w:rPr>
      </w:pPr>
    </w:p>
    <w:tbl>
      <w:tblPr>
        <w:tblW w:w="0" w:type="auto"/>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shd w:val="clear" w:color="auto" w:fill="FDE9D9"/>
        <w:tblLook w:val="04A0" w:firstRow="1" w:lastRow="0" w:firstColumn="1" w:lastColumn="0" w:noHBand="0" w:noVBand="1"/>
      </w:tblPr>
      <w:tblGrid>
        <w:gridCol w:w="9212"/>
      </w:tblGrid>
      <w:tr w:rsidR="00BF4F7B" w14:paraId="5AAEB52C" w14:textId="77777777">
        <w:tc>
          <w:tcPr>
            <w:tcW w:w="9212" w:type="dxa"/>
            <w:shd w:val="clear" w:color="auto" w:fill="FDE9D9"/>
          </w:tcPr>
          <w:p w14:paraId="21970599" w14:textId="77777777" w:rsidR="00273D55" w:rsidRDefault="00B912B2">
            <w:pPr>
              <w:suppressAutoHyphens/>
              <w:autoSpaceDE w:val="0"/>
              <w:autoSpaceDN w:val="0"/>
              <w:adjustRightInd w:val="0"/>
              <w:ind w:right="70"/>
              <w:textAlignment w:val="baseline"/>
              <w:rPr>
                <w:rFonts w:cs="Arial"/>
                <w:b/>
                <w:bCs/>
                <w:kern w:val="1"/>
                <w:lang w:eastAsia="zh-CN" w:bidi="hi-IN"/>
              </w:rPr>
            </w:pPr>
            <w:r>
              <w:rPr>
                <w:rFonts w:cs="Arial"/>
                <w:b/>
                <w:bCs/>
                <w:kern w:val="1"/>
                <w:lang w:eastAsia="zh-CN" w:bidi="hi-IN"/>
              </w:rPr>
              <w:t>Te nemen besluit</w:t>
            </w:r>
          </w:p>
          <w:p w14:paraId="39BE7581" w14:textId="635D7825" w:rsidR="00273D55" w:rsidRDefault="00BF7AB4">
            <w:pPr>
              <w:suppressAutoHyphens/>
              <w:autoSpaceDE w:val="0"/>
              <w:autoSpaceDN w:val="0"/>
              <w:adjustRightInd w:val="0"/>
              <w:ind w:right="70"/>
              <w:textAlignment w:val="baseline"/>
              <w:rPr>
                <w:rFonts w:cs="Arial"/>
                <w:kern w:val="1"/>
                <w:lang w:eastAsia="zh-CN" w:bidi="hi-IN"/>
              </w:rPr>
            </w:pPr>
            <w:r>
              <w:rPr>
                <w:rFonts w:cs="Arial"/>
                <w:kern w:val="1"/>
                <w:lang w:eastAsia="zh-CN" w:bidi="hi-IN"/>
              </w:rPr>
              <w:t>De perspectiefnota 2025 vaststellen</w:t>
            </w:r>
            <w:r w:rsidR="005405B7">
              <w:rPr>
                <w:rFonts w:cs="Arial"/>
                <w:kern w:val="1"/>
                <w:lang w:eastAsia="zh-CN" w:bidi="hi-IN"/>
              </w:rPr>
              <w:t>.</w:t>
            </w:r>
          </w:p>
        </w:tc>
      </w:tr>
    </w:tbl>
    <w:p w14:paraId="7B69349E" w14:textId="77777777" w:rsidR="00273D55" w:rsidRPr="00F43E5F" w:rsidRDefault="00273D55" w:rsidP="00553314">
      <w:pPr>
        <w:pStyle w:val="Standard"/>
        <w:rPr>
          <w:bCs/>
          <w:szCs w:val="21"/>
        </w:rPr>
      </w:pPr>
    </w:p>
    <w:p w14:paraId="0E149739" w14:textId="77777777" w:rsidR="00273D55" w:rsidRDefault="00B912B2" w:rsidP="00946C64">
      <w:pPr>
        <w:pStyle w:val="Standard"/>
        <w:ind w:right="-1407"/>
        <w:rPr>
          <w:b/>
          <w:szCs w:val="21"/>
        </w:rPr>
      </w:pPr>
      <w:r>
        <w:rPr>
          <w:b/>
          <w:szCs w:val="21"/>
        </w:rPr>
        <w:t>Waarom dit voorstel en wat is het effect</w:t>
      </w:r>
    </w:p>
    <w:p w14:paraId="46FA2911" w14:textId="2D9FCE50" w:rsidR="00273D55" w:rsidRDefault="00BF7AB4" w:rsidP="00553314">
      <w:pPr>
        <w:pStyle w:val="Standard"/>
        <w:rPr>
          <w:bCs/>
          <w:szCs w:val="21"/>
        </w:rPr>
      </w:pPr>
      <w:r>
        <w:t xml:space="preserve">De perspectiefnota maakt onderdeel uit van de planning en </w:t>
      </w:r>
      <w:proofErr w:type="spellStart"/>
      <w:r>
        <w:t>controlcyclus</w:t>
      </w:r>
      <w:proofErr w:type="spellEnd"/>
      <w:r>
        <w:t xml:space="preserve"> van de gemeente Berkelland. Het is het </w:t>
      </w:r>
      <w:proofErr w:type="spellStart"/>
      <w:r>
        <w:t>kaderstellend</w:t>
      </w:r>
      <w:proofErr w:type="spellEnd"/>
      <w:r>
        <w:t xml:space="preserve"> document voor het opstellen van de begroting 2025 en de meerjarenbegroting 2026 tot en met 2028. Door het vaststellen van de perspectiefnota kunnen de begroting 2025 en de meerjarenbegroting 2026 -2028 worden voorbereid</w:t>
      </w:r>
      <w:r w:rsidR="005405B7">
        <w:t>,</w:t>
      </w:r>
      <w:r>
        <w:t xml:space="preserve"> binnen de kaders die u gesteld heeft.</w:t>
      </w:r>
    </w:p>
    <w:p w14:paraId="1BCAF4A1" w14:textId="77777777" w:rsidR="00804F8B" w:rsidRPr="00F43E5F" w:rsidRDefault="00804F8B" w:rsidP="00553314">
      <w:pPr>
        <w:pStyle w:val="Standard"/>
        <w:rPr>
          <w:bCs/>
          <w:szCs w:val="21"/>
        </w:rPr>
      </w:pPr>
    </w:p>
    <w:tbl>
      <w:tblPr>
        <w:tblW w:w="0" w:type="auto"/>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shd w:val="clear" w:color="auto" w:fill="FDE9D9"/>
        <w:tblLook w:val="04A0" w:firstRow="1" w:lastRow="0" w:firstColumn="1" w:lastColumn="0" w:noHBand="0" w:noVBand="1"/>
      </w:tblPr>
      <w:tblGrid>
        <w:gridCol w:w="9212"/>
      </w:tblGrid>
      <w:tr w:rsidR="00BF4F7B" w14:paraId="4DABDC81" w14:textId="77777777">
        <w:tc>
          <w:tcPr>
            <w:tcW w:w="9212" w:type="dxa"/>
            <w:shd w:val="clear" w:color="auto" w:fill="FDE9D9"/>
          </w:tcPr>
          <w:p w14:paraId="06065655" w14:textId="77777777" w:rsidR="00273D55" w:rsidRDefault="00B912B2">
            <w:pPr>
              <w:pStyle w:val="Standard"/>
              <w:ind w:right="70"/>
              <w:rPr>
                <w:b/>
                <w:szCs w:val="21"/>
              </w:rPr>
            </w:pPr>
            <w:r>
              <w:rPr>
                <w:b/>
                <w:szCs w:val="21"/>
              </w:rPr>
              <w:t>Argumentatie</w:t>
            </w:r>
          </w:p>
          <w:p w14:paraId="3C2AB699" w14:textId="25DD795B" w:rsidR="00273D55" w:rsidRDefault="00BF7AB4">
            <w:pPr>
              <w:pStyle w:val="Standard"/>
              <w:ind w:right="70"/>
              <w:rPr>
                <w:b/>
                <w:szCs w:val="21"/>
              </w:rPr>
            </w:pPr>
            <w:r>
              <w:t xml:space="preserve">De perspectiefnota 2025 geeft een doorkijk naar de begroting 2025 en het meerjarenperspectief. </w:t>
            </w:r>
            <w:r w:rsidR="00323A81">
              <w:t>D</w:t>
            </w:r>
            <w:r>
              <w:t xml:space="preserve">e begroting in 2025 </w:t>
            </w:r>
            <w:r w:rsidR="00323A81">
              <w:t xml:space="preserve">sluit </w:t>
            </w:r>
            <w:r>
              <w:t xml:space="preserve">met een tekort van € </w:t>
            </w:r>
            <w:r w:rsidR="00920B90">
              <w:t>1.016.000.</w:t>
            </w:r>
            <w:r w:rsidR="00323A81">
              <w:t xml:space="preserve"> De meicirculaire van 2024 kan hier nog verandering in brengen.</w:t>
            </w:r>
          </w:p>
        </w:tc>
      </w:tr>
    </w:tbl>
    <w:p w14:paraId="5537214C" w14:textId="77777777" w:rsidR="00273D55" w:rsidRPr="00F43E5F" w:rsidRDefault="00273D55" w:rsidP="00553314">
      <w:pPr>
        <w:pStyle w:val="Standard"/>
        <w:rPr>
          <w:bCs/>
          <w:szCs w:val="21"/>
        </w:rPr>
      </w:pPr>
    </w:p>
    <w:p w14:paraId="3F0531AF" w14:textId="77777777" w:rsidR="00273D55" w:rsidRDefault="00B912B2" w:rsidP="00553314">
      <w:pPr>
        <w:pStyle w:val="Standard"/>
        <w:ind w:right="141"/>
        <w:rPr>
          <w:b/>
          <w:szCs w:val="21"/>
        </w:rPr>
      </w:pPr>
      <w:r>
        <w:rPr>
          <w:b/>
          <w:szCs w:val="21"/>
        </w:rPr>
        <w:t>Kanttekeningen en risico’s</w:t>
      </w:r>
    </w:p>
    <w:p w14:paraId="3E05CD3D" w14:textId="1F579052" w:rsidR="00BF7AB4" w:rsidRDefault="00BF7AB4" w:rsidP="00553314">
      <w:pPr>
        <w:pStyle w:val="Standard"/>
      </w:pPr>
      <w:r>
        <w:t xml:space="preserve">De </w:t>
      </w:r>
      <w:r w:rsidR="00E814F8">
        <w:t>p</w:t>
      </w:r>
      <w:r>
        <w:t xml:space="preserve">erspectiefnota gaat uit van de situatie tot de meicirculaire, overeenkomstig de bestendige gedragslijn. Het meerjarenperspectief blijft vanaf 2026 negatief. Het onderhandelaarsakkoord voor een nieuw te vormen regering laat hierin geen verbetering zien. Om ook vanaf 2026 een sluitende begroting te kunnen presenteren gaan wij door met de voorbereidingen om tot bezuinigingen te komen. </w:t>
      </w:r>
    </w:p>
    <w:p w14:paraId="227FD9DD" w14:textId="77777777" w:rsidR="00BF7AB4" w:rsidRDefault="00BF7AB4" w:rsidP="00553314">
      <w:pPr>
        <w:pStyle w:val="Standard"/>
      </w:pPr>
    </w:p>
    <w:p w14:paraId="454FCE95" w14:textId="2DBC4642" w:rsidR="00273D55" w:rsidRPr="00F43E5F" w:rsidRDefault="00BF7AB4" w:rsidP="00553314">
      <w:pPr>
        <w:pStyle w:val="Standard"/>
        <w:rPr>
          <w:bCs/>
          <w:szCs w:val="21"/>
        </w:rPr>
      </w:pPr>
      <w:r>
        <w:t xml:space="preserve">Ons perspectief heeft nu </w:t>
      </w:r>
      <w:r w:rsidR="00920B90">
        <w:t xml:space="preserve">een </w:t>
      </w:r>
      <w:r>
        <w:t>tekort voor 202</w:t>
      </w:r>
      <w:r w:rsidR="00920B90">
        <w:t>5</w:t>
      </w:r>
      <w:r>
        <w:t xml:space="preserve"> en </w:t>
      </w:r>
      <w:r w:rsidR="00920B90">
        <w:t xml:space="preserve">verder. Op basis van de voorjaarsnota 2024 van het Rijk verwachten we dat de meicirculaire een nadeel zal opleveren van ongeveer € 1,5 miljoen in 2025. Voor de jaren erna is de verwachting dat sprake is van een stijging van de algemene uitkering met eenzelfde bedrag. Als </w:t>
      </w:r>
      <w:r>
        <w:t xml:space="preserve">de meicirculaire </w:t>
      </w:r>
      <w:r w:rsidR="00920B90">
        <w:t>uitpakt zoals verwacht</w:t>
      </w:r>
      <w:r w:rsidR="005405B7">
        <w:t>,</w:t>
      </w:r>
      <w:r w:rsidR="00920B90">
        <w:t xml:space="preserve"> k</w:t>
      </w:r>
      <w:r>
        <w:t xml:space="preserve">unnen wij in september </w:t>
      </w:r>
      <w:r w:rsidR="00920B90">
        <w:t xml:space="preserve">met behulp van de maatregelen uit fase 1 en het dekken van incidentele uitgaven uit de reserves </w:t>
      </w:r>
      <w:r>
        <w:t>een sluitende begroting (jaarschijf) 202</w:t>
      </w:r>
      <w:r w:rsidR="00920B90">
        <w:t>5</w:t>
      </w:r>
      <w:r>
        <w:t xml:space="preserve"> presenteren. Anders gezegd: “We begroten met durf en varen scherper aan de wind.” Een sluitende jaarschijf 202</w:t>
      </w:r>
      <w:r w:rsidR="00920B90">
        <w:t>5</w:t>
      </w:r>
      <w:r>
        <w:t xml:space="preserve"> is in principe voldoende voor onze toezichthouder. We verwachten dan wel tekorten te presenteren op de jaarschijven 202</w:t>
      </w:r>
      <w:r w:rsidR="00920B90">
        <w:t>7</w:t>
      </w:r>
      <w:r>
        <w:t xml:space="preserve"> en </w:t>
      </w:r>
      <w:r w:rsidR="00920B90">
        <w:t>verder.</w:t>
      </w:r>
      <w:r>
        <w:t xml:space="preserve"> </w:t>
      </w:r>
      <w:r w:rsidR="00920B90">
        <w:t>Intussen gaan we verder m</w:t>
      </w:r>
      <w:r>
        <w:t xml:space="preserve">et </w:t>
      </w:r>
      <w:r w:rsidR="00920B90">
        <w:t>de</w:t>
      </w:r>
      <w:r>
        <w:t xml:space="preserve"> inventarisatie van mogelijkheden</w:t>
      </w:r>
      <w:r w:rsidR="00920B90">
        <w:t xml:space="preserve"> om te bezuinigen. </w:t>
      </w:r>
    </w:p>
    <w:p w14:paraId="21B4F2F6" w14:textId="77777777" w:rsidR="00273D55" w:rsidRPr="00F43E5F" w:rsidRDefault="00273D55" w:rsidP="00553314">
      <w:pPr>
        <w:pStyle w:val="Standard"/>
        <w:rPr>
          <w:bCs/>
          <w:szCs w:val="21"/>
        </w:rPr>
      </w:pPr>
    </w:p>
    <w:p w14:paraId="35D99020" w14:textId="77777777" w:rsidR="00273D55" w:rsidRDefault="00B912B2" w:rsidP="00946C64">
      <w:pPr>
        <w:pStyle w:val="Standard"/>
        <w:ind w:right="-1407"/>
        <w:rPr>
          <w:b/>
          <w:szCs w:val="21"/>
        </w:rPr>
      </w:pPr>
      <w:r>
        <w:rPr>
          <w:b/>
          <w:szCs w:val="21"/>
        </w:rPr>
        <w:t>Financiën</w:t>
      </w:r>
    </w:p>
    <w:p w14:paraId="767ADD69" w14:textId="788CD73E" w:rsidR="00273D55" w:rsidRPr="00F43E5F" w:rsidRDefault="00323A81" w:rsidP="00553314">
      <w:pPr>
        <w:pStyle w:val="Standard"/>
        <w:rPr>
          <w:bCs/>
          <w:szCs w:val="21"/>
        </w:rPr>
      </w:pPr>
      <w:r>
        <w:rPr>
          <w:bCs/>
          <w:szCs w:val="21"/>
        </w:rPr>
        <w:t xml:space="preserve">De begroting 2025 sluit </w:t>
      </w:r>
      <w:r w:rsidR="008A79F8">
        <w:rPr>
          <w:bCs/>
          <w:szCs w:val="21"/>
        </w:rPr>
        <w:t xml:space="preserve">na de perspectiefnota </w:t>
      </w:r>
      <w:r>
        <w:rPr>
          <w:bCs/>
          <w:szCs w:val="21"/>
        </w:rPr>
        <w:t xml:space="preserve">met een tekort van € 1.016.000. </w:t>
      </w:r>
      <w:r w:rsidR="008A79F8">
        <w:rPr>
          <w:bCs/>
          <w:szCs w:val="21"/>
        </w:rPr>
        <w:t>De meicirculaire en het realiseren van fase 1 kunnen hier nog verandering in brengen.</w:t>
      </w:r>
    </w:p>
    <w:p w14:paraId="628CF16A" w14:textId="77777777" w:rsidR="00273D55" w:rsidRPr="00F43E5F" w:rsidRDefault="00273D55" w:rsidP="00553314">
      <w:pPr>
        <w:pStyle w:val="Standard"/>
        <w:rPr>
          <w:bCs/>
          <w:szCs w:val="21"/>
        </w:rPr>
      </w:pPr>
    </w:p>
    <w:p w14:paraId="54165B7B" w14:textId="77777777" w:rsidR="00273D55" w:rsidRDefault="00B912B2" w:rsidP="00553314">
      <w:pPr>
        <w:pStyle w:val="Standard"/>
        <w:rPr>
          <w:b/>
          <w:szCs w:val="21"/>
        </w:rPr>
      </w:pPr>
      <w:r>
        <w:rPr>
          <w:b/>
          <w:szCs w:val="21"/>
        </w:rPr>
        <w:t>VN verdrag rechten van mensen met een beperking</w:t>
      </w:r>
    </w:p>
    <w:p w14:paraId="6445357A" w14:textId="783D7B7D" w:rsidR="005B17CF" w:rsidRPr="00BF7AB4" w:rsidRDefault="00BF7AB4" w:rsidP="00553314">
      <w:pPr>
        <w:pStyle w:val="Standard"/>
        <w:rPr>
          <w:bCs/>
          <w:szCs w:val="21"/>
        </w:rPr>
      </w:pPr>
      <w:r w:rsidRPr="00BF7AB4">
        <w:rPr>
          <w:bCs/>
          <w:szCs w:val="21"/>
        </w:rPr>
        <w:t>Niet van toepassing</w:t>
      </w:r>
      <w:r w:rsidR="00E814F8">
        <w:rPr>
          <w:bCs/>
          <w:szCs w:val="21"/>
        </w:rPr>
        <w:t>.</w:t>
      </w:r>
    </w:p>
    <w:p w14:paraId="2CE7BBF8" w14:textId="77777777" w:rsidR="005B17CF" w:rsidRDefault="005B17CF" w:rsidP="00553314">
      <w:pPr>
        <w:pStyle w:val="Standard"/>
        <w:rPr>
          <w:b/>
          <w:szCs w:val="21"/>
        </w:rPr>
      </w:pPr>
    </w:p>
    <w:p w14:paraId="738F5A6C" w14:textId="54DCE138" w:rsidR="005B17CF" w:rsidRDefault="00B912B2" w:rsidP="00946C64">
      <w:pPr>
        <w:pStyle w:val="Standard"/>
        <w:ind w:right="-1407"/>
        <w:rPr>
          <w:b/>
          <w:szCs w:val="21"/>
        </w:rPr>
      </w:pPr>
      <w:r>
        <w:rPr>
          <w:b/>
          <w:szCs w:val="21"/>
        </w:rPr>
        <w:t>Duurzaamheid</w:t>
      </w:r>
    </w:p>
    <w:p w14:paraId="78C04DB4" w14:textId="5CA31A86" w:rsidR="00273D55" w:rsidRPr="00F43E5F" w:rsidRDefault="00BF7AB4" w:rsidP="00553314">
      <w:pPr>
        <w:pStyle w:val="Standard"/>
        <w:rPr>
          <w:bCs/>
          <w:szCs w:val="21"/>
        </w:rPr>
      </w:pPr>
      <w:r>
        <w:rPr>
          <w:bCs/>
          <w:szCs w:val="21"/>
        </w:rPr>
        <w:lastRenderedPageBreak/>
        <w:t>Niet van toepassing</w:t>
      </w:r>
      <w:r w:rsidR="00E814F8">
        <w:rPr>
          <w:bCs/>
          <w:szCs w:val="21"/>
        </w:rPr>
        <w:t>.</w:t>
      </w:r>
    </w:p>
    <w:p w14:paraId="0471F24C" w14:textId="77777777" w:rsidR="00273D55" w:rsidRPr="00F43E5F" w:rsidRDefault="00273D55" w:rsidP="00553314">
      <w:pPr>
        <w:pStyle w:val="Standard"/>
        <w:rPr>
          <w:bCs/>
          <w:szCs w:val="21"/>
        </w:rPr>
      </w:pPr>
    </w:p>
    <w:p w14:paraId="2269037C" w14:textId="77777777" w:rsidR="00273D55" w:rsidRDefault="00B912B2" w:rsidP="00553314">
      <w:pPr>
        <w:pStyle w:val="Standard"/>
        <w:rPr>
          <w:b/>
          <w:szCs w:val="21"/>
        </w:rPr>
      </w:pPr>
      <w:r>
        <w:rPr>
          <w:b/>
          <w:szCs w:val="21"/>
        </w:rPr>
        <w:t>Communicatie</w:t>
      </w:r>
    </w:p>
    <w:p w14:paraId="31B77687" w14:textId="12FF8A79" w:rsidR="00273D55" w:rsidRPr="00F43E5F" w:rsidRDefault="00BF7AB4" w:rsidP="00553314">
      <w:pPr>
        <w:pStyle w:val="Standard"/>
        <w:rPr>
          <w:bCs/>
          <w:szCs w:val="21"/>
        </w:rPr>
      </w:pPr>
      <w:r>
        <w:t xml:space="preserve">We communiceren over de perspectiefnota via een persbericht en artikel in </w:t>
      </w:r>
      <w:proofErr w:type="spellStart"/>
      <w:r>
        <w:t>BerkelBericht</w:t>
      </w:r>
      <w:proofErr w:type="spellEnd"/>
      <w:r>
        <w:t>.</w:t>
      </w:r>
    </w:p>
    <w:p w14:paraId="664AE1A5" w14:textId="77777777" w:rsidR="00273D55" w:rsidRPr="00F43E5F" w:rsidRDefault="00273D55" w:rsidP="00553314">
      <w:pPr>
        <w:pStyle w:val="Standard"/>
        <w:rPr>
          <w:bCs/>
          <w:szCs w:val="21"/>
        </w:rPr>
      </w:pPr>
    </w:p>
    <w:p w14:paraId="61BF7784" w14:textId="77777777" w:rsidR="00273D55" w:rsidRDefault="00B912B2" w:rsidP="00946C64">
      <w:pPr>
        <w:pStyle w:val="Standard"/>
        <w:ind w:right="-1407"/>
        <w:rPr>
          <w:b/>
          <w:szCs w:val="21"/>
        </w:rPr>
      </w:pPr>
      <w:r>
        <w:rPr>
          <w:b/>
          <w:szCs w:val="21"/>
        </w:rPr>
        <w:t>Initiatief, participatie en rol gemeente</w:t>
      </w:r>
    </w:p>
    <w:p w14:paraId="0958F778" w14:textId="620128A3" w:rsidR="00273D55" w:rsidRPr="00F43E5F" w:rsidRDefault="00BF7AB4" w:rsidP="00553314">
      <w:pPr>
        <w:pStyle w:val="Standard"/>
        <w:rPr>
          <w:bCs/>
          <w:szCs w:val="21"/>
        </w:rPr>
      </w:pPr>
      <w:r>
        <w:t>De perspectiefnota maakt onderdeel uit van de P&amp;C cyclus van de gemeente. De Perspectiefnota 2025 is de aftrap van de cyclus die betrekking heeft op het jaar 2025.</w:t>
      </w:r>
    </w:p>
    <w:p w14:paraId="351A7B61" w14:textId="77777777" w:rsidR="00273D55" w:rsidRPr="00F43E5F" w:rsidRDefault="00273D55" w:rsidP="00553314">
      <w:pPr>
        <w:pStyle w:val="Standard"/>
        <w:rPr>
          <w:bCs/>
          <w:szCs w:val="21"/>
        </w:rPr>
      </w:pPr>
    </w:p>
    <w:p w14:paraId="53FC0856" w14:textId="77777777" w:rsidR="00273D55" w:rsidRDefault="00B912B2" w:rsidP="00946C64">
      <w:pPr>
        <w:pStyle w:val="Standard"/>
        <w:ind w:right="-1407"/>
        <w:rPr>
          <w:b/>
          <w:szCs w:val="21"/>
        </w:rPr>
      </w:pPr>
      <w:r>
        <w:rPr>
          <w:b/>
          <w:szCs w:val="21"/>
        </w:rPr>
        <w:t>Planning en evaluatie</w:t>
      </w:r>
    </w:p>
    <w:p w14:paraId="06D8ABC1" w14:textId="64FC1BE8" w:rsidR="00273D55" w:rsidRPr="00F43E5F" w:rsidRDefault="00BF7AB4" w:rsidP="00553314">
      <w:pPr>
        <w:pStyle w:val="Standard"/>
        <w:rPr>
          <w:bCs/>
          <w:szCs w:val="21"/>
        </w:rPr>
      </w:pPr>
      <w:r>
        <w:t xml:space="preserve">Evaluatie van de ontwikkelingen die in de Perspectiefnota 2025 staan vindt tussentijds plaats bij de begroting 2025 en de </w:t>
      </w:r>
      <w:proofErr w:type="spellStart"/>
      <w:r>
        <w:t>bestuursrapportage</w:t>
      </w:r>
      <w:proofErr w:type="spellEnd"/>
      <w:r>
        <w:t xml:space="preserve"> 2025. De eindevaluatie vindt plaats bij de jaarrekening 2025.</w:t>
      </w:r>
    </w:p>
    <w:p w14:paraId="4141BCCA" w14:textId="77777777" w:rsidR="00273D55" w:rsidRPr="00F43E5F" w:rsidRDefault="00273D55" w:rsidP="00553314">
      <w:pPr>
        <w:pStyle w:val="Standard"/>
        <w:rPr>
          <w:bCs/>
          <w:szCs w:val="21"/>
        </w:rPr>
      </w:pPr>
    </w:p>
    <w:p w14:paraId="11F47BA2" w14:textId="77777777" w:rsidR="00273D55" w:rsidRDefault="00B912B2" w:rsidP="00946C64">
      <w:pPr>
        <w:pStyle w:val="Standard"/>
        <w:ind w:right="-1407"/>
        <w:rPr>
          <w:b/>
          <w:szCs w:val="21"/>
        </w:rPr>
      </w:pPr>
      <w:r>
        <w:rPr>
          <w:b/>
          <w:szCs w:val="21"/>
        </w:rPr>
        <w:t>Alternatieven</w:t>
      </w:r>
    </w:p>
    <w:p w14:paraId="60C1BCC3" w14:textId="7D48604B" w:rsidR="00176FD0" w:rsidRDefault="00BF7AB4" w:rsidP="006D38BA">
      <w:pPr>
        <w:rPr>
          <w:rFonts w:cs="Arial"/>
        </w:rPr>
      </w:pPr>
      <w:r>
        <w:rPr>
          <w:rFonts w:cs="Arial"/>
        </w:rPr>
        <w:t>Niet van toepassing</w:t>
      </w:r>
      <w:r w:rsidR="00E814F8">
        <w:rPr>
          <w:rFonts w:cs="Arial"/>
        </w:rPr>
        <w:t>.</w:t>
      </w:r>
    </w:p>
    <w:p w14:paraId="631F851E" w14:textId="77777777" w:rsidR="006D38BA" w:rsidRDefault="006D38BA" w:rsidP="006D38BA">
      <w:pPr>
        <w:rPr>
          <w:rFonts w:cs="Arial"/>
        </w:rPr>
      </w:pPr>
    </w:p>
    <w:tbl>
      <w:tblPr>
        <w:tblW w:w="0" w:type="auto"/>
        <w:tblLook w:val="04A0" w:firstRow="1" w:lastRow="0" w:firstColumn="1" w:lastColumn="0" w:noHBand="0" w:noVBand="1"/>
      </w:tblPr>
      <w:tblGrid>
        <w:gridCol w:w="2469"/>
        <w:gridCol w:w="6060"/>
      </w:tblGrid>
      <w:tr w:rsidR="00BF4F7B" w14:paraId="4FA15A7C" w14:textId="77777777">
        <w:tc>
          <w:tcPr>
            <w:tcW w:w="8529" w:type="dxa"/>
            <w:gridSpan w:val="2"/>
            <w:shd w:val="clear" w:color="auto" w:fill="auto"/>
            <w:hideMark/>
          </w:tcPr>
          <w:p w14:paraId="16477D5F" w14:textId="1B84CEEC" w:rsidR="001B01BC" w:rsidRDefault="00B912B2" w:rsidP="00D43562">
            <w:pPr>
              <w:rPr>
                <w:rFonts w:cs="Arial"/>
              </w:rPr>
            </w:pPr>
            <w:r>
              <w:rPr>
                <w:rFonts w:cs="Arial"/>
              </w:rPr>
              <w:t>Burgemeester en wethouders van Berkelland,</w:t>
            </w:r>
          </w:p>
        </w:tc>
      </w:tr>
      <w:tr w:rsidR="00BF4F7B" w14:paraId="6856E4AB" w14:textId="77777777">
        <w:tc>
          <w:tcPr>
            <w:tcW w:w="2469" w:type="dxa"/>
            <w:shd w:val="clear" w:color="auto" w:fill="auto"/>
            <w:hideMark/>
          </w:tcPr>
          <w:p w14:paraId="7C1930FE" w14:textId="77777777" w:rsidR="001B01BC" w:rsidRDefault="00B912B2" w:rsidP="00D43562">
            <w:pPr>
              <w:rPr>
                <w:rFonts w:cs="Arial"/>
              </w:rPr>
            </w:pPr>
            <w:r>
              <w:rPr>
                <w:rFonts w:cs="Arial"/>
              </w:rPr>
              <w:t>de secretaris,</w:t>
            </w:r>
          </w:p>
        </w:tc>
        <w:tc>
          <w:tcPr>
            <w:tcW w:w="6060" w:type="dxa"/>
            <w:shd w:val="clear" w:color="auto" w:fill="auto"/>
            <w:hideMark/>
          </w:tcPr>
          <w:p w14:paraId="6D797A54" w14:textId="77777777" w:rsidR="001B01BC" w:rsidRDefault="00B912B2" w:rsidP="00D43562">
            <w:pPr>
              <w:rPr>
                <w:rFonts w:cs="Arial"/>
              </w:rPr>
            </w:pPr>
            <w:r>
              <w:rPr>
                <w:rFonts w:cs="Arial"/>
              </w:rPr>
              <w:t>de burgemeester,</w:t>
            </w:r>
          </w:p>
        </w:tc>
      </w:tr>
      <w:tr w:rsidR="00BF4F7B" w14:paraId="6251A71E" w14:textId="77777777">
        <w:tc>
          <w:tcPr>
            <w:tcW w:w="8529" w:type="dxa"/>
            <w:gridSpan w:val="2"/>
            <w:shd w:val="clear" w:color="auto" w:fill="auto"/>
          </w:tcPr>
          <w:p w14:paraId="688F7392" w14:textId="77777777" w:rsidR="001B01BC" w:rsidRDefault="001B01BC" w:rsidP="00D43562">
            <w:pPr>
              <w:rPr>
                <w:rFonts w:cs="Arial"/>
              </w:rPr>
            </w:pPr>
          </w:p>
        </w:tc>
      </w:tr>
      <w:tr w:rsidR="00BF4F7B" w14:paraId="17493732" w14:textId="77777777">
        <w:tc>
          <w:tcPr>
            <w:tcW w:w="8529" w:type="dxa"/>
            <w:gridSpan w:val="2"/>
            <w:shd w:val="clear" w:color="auto" w:fill="auto"/>
          </w:tcPr>
          <w:p w14:paraId="71850622" w14:textId="77777777" w:rsidR="001B01BC" w:rsidRDefault="001B01BC" w:rsidP="00D43562">
            <w:pPr>
              <w:rPr>
                <w:rFonts w:cs="Arial"/>
              </w:rPr>
            </w:pPr>
          </w:p>
        </w:tc>
      </w:tr>
      <w:tr w:rsidR="00BF4F7B" w14:paraId="113526BE" w14:textId="77777777">
        <w:tc>
          <w:tcPr>
            <w:tcW w:w="2469" w:type="dxa"/>
            <w:shd w:val="clear" w:color="auto" w:fill="auto"/>
            <w:hideMark/>
          </w:tcPr>
          <w:p w14:paraId="6ED741EB" w14:textId="77777777" w:rsidR="001B01BC" w:rsidRDefault="00B912B2" w:rsidP="00D43562">
            <w:pPr>
              <w:rPr>
                <w:rFonts w:cs="Arial"/>
              </w:rPr>
            </w:pPr>
            <w:r>
              <w:rPr>
                <w:rFonts w:cs="Arial"/>
              </w:rPr>
              <w:t xml:space="preserve">drs. </w:t>
            </w:r>
            <w:r w:rsidR="00541835">
              <w:rPr>
                <w:rFonts w:cs="Arial"/>
              </w:rPr>
              <w:t>J</w:t>
            </w:r>
            <w:r>
              <w:rPr>
                <w:rFonts w:cs="Arial"/>
              </w:rPr>
              <w:t xml:space="preserve">. </w:t>
            </w:r>
            <w:r w:rsidR="00541835">
              <w:rPr>
                <w:rFonts w:cs="Arial"/>
              </w:rPr>
              <w:t>Jonker</w:t>
            </w:r>
          </w:p>
        </w:tc>
        <w:tc>
          <w:tcPr>
            <w:tcW w:w="6060" w:type="dxa"/>
            <w:shd w:val="clear" w:color="auto" w:fill="auto"/>
            <w:hideMark/>
          </w:tcPr>
          <w:p w14:paraId="5308BC85" w14:textId="77777777" w:rsidR="001B01BC" w:rsidRDefault="00B912B2" w:rsidP="00D43562">
            <w:pPr>
              <w:rPr>
                <w:rFonts w:cs="Arial"/>
              </w:rPr>
            </w:pPr>
            <w:r>
              <w:rPr>
                <w:rFonts w:cs="Arial"/>
              </w:rPr>
              <w:t>drs. J.H.A. van Oostrum</w:t>
            </w:r>
          </w:p>
        </w:tc>
      </w:tr>
    </w:tbl>
    <w:p w14:paraId="5BC22635" w14:textId="77777777" w:rsidR="00577693" w:rsidRDefault="00B912B2">
      <w:pPr>
        <w:rPr>
          <w:rFonts w:cs="Arial"/>
        </w:rPr>
      </w:pPr>
      <w:r>
        <w:rPr>
          <w:rFonts w:cs="Arial"/>
        </w:rPr>
        <w:br w:type="page"/>
      </w:r>
    </w:p>
    <w:tbl>
      <w:tblPr>
        <w:tblW w:w="9747" w:type="dxa"/>
        <w:tblBorders>
          <w:top w:val="nil"/>
          <w:left w:val="nil"/>
          <w:bottom w:val="nil"/>
          <w:right w:val="nil"/>
          <w:insideH w:val="nil"/>
          <w:insideV w:val="nil"/>
        </w:tblBorders>
        <w:tblLook w:val="04A0" w:firstRow="1" w:lastRow="0" w:firstColumn="1" w:lastColumn="0" w:noHBand="0" w:noVBand="1"/>
      </w:tblPr>
      <w:tblGrid>
        <w:gridCol w:w="2457"/>
        <w:gridCol w:w="286"/>
        <w:gridCol w:w="7004"/>
      </w:tblGrid>
      <w:tr w:rsidR="00BF4F7B" w14:paraId="4D030526" w14:textId="77777777">
        <w:tc>
          <w:tcPr>
            <w:tcW w:w="2457" w:type="dxa"/>
            <w:shd w:val="clear" w:color="auto" w:fill="auto"/>
          </w:tcPr>
          <w:p w14:paraId="0373765C" w14:textId="77777777" w:rsidR="00273D55" w:rsidRDefault="00B912B2" w:rsidP="00C914BB">
            <w:pPr>
              <w:rPr>
                <w:rFonts w:cs="Arial"/>
                <w:lang w:eastAsia="zh-CN" w:bidi="hi-IN"/>
              </w:rPr>
            </w:pPr>
            <w:r>
              <w:rPr>
                <w:rFonts w:cs="Arial"/>
                <w:lang w:eastAsia="zh-CN" w:bidi="hi-IN"/>
              </w:rPr>
              <w:t>Raadsvergadering</w:t>
            </w:r>
          </w:p>
        </w:tc>
        <w:tc>
          <w:tcPr>
            <w:tcW w:w="286" w:type="dxa"/>
            <w:shd w:val="clear" w:color="auto" w:fill="auto"/>
          </w:tcPr>
          <w:p w14:paraId="7F906203" w14:textId="77777777" w:rsidR="00273D55" w:rsidRDefault="00B912B2" w:rsidP="00C914BB">
            <w:pPr>
              <w:rPr>
                <w:rFonts w:cs="Arial"/>
                <w:lang w:eastAsia="zh-CN" w:bidi="hi-IN"/>
              </w:rPr>
            </w:pPr>
            <w:r>
              <w:rPr>
                <w:rFonts w:cs="Arial"/>
                <w:lang w:eastAsia="zh-CN" w:bidi="hi-IN"/>
              </w:rPr>
              <w:t>:</w:t>
            </w:r>
          </w:p>
        </w:tc>
        <w:tc>
          <w:tcPr>
            <w:tcW w:w="7004" w:type="dxa"/>
            <w:shd w:val="clear" w:color="auto" w:fill="auto"/>
          </w:tcPr>
          <w:p w14:paraId="610D0EF0" w14:textId="0D998316" w:rsidR="00273D55" w:rsidRDefault="00B912B2" w:rsidP="00C914BB">
            <w:pPr>
              <w:rPr>
                <w:rFonts w:cs="Arial"/>
                <w:lang w:eastAsia="zh-CN" w:bidi="hi-IN"/>
              </w:rPr>
            </w:pPr>
            <w:r>
              <w:rPr>
                <w:rFonts w:eastAsia="Arial" w:cs="Arial"/>
                <w:lang w:eastAsia="zh-CN" w:bidi="hi-IN"/>
              </w:rPr>
              <w:t>2 juli 2024</w:t>
            </w:r>
          </w:p>
        </w:tc>
      </w:tr>
    </w:tbl>
    <w:p w14:paraId="07E9553B" w14:textId="77777777" w:rsidR="00273D55" w:rsidRDefault="00273D55" w:rsidP="00F43E5F">
      <w:pPr>
        <w:rPr>
          <w:rFonts w:cs="Arial"/>
        </w:rPr>
      </w:pPr>
    </w:p>
    <w:p w14:paraId="1D77646B" w14:textId="77777777" w:rsidR="00273D55" w:rsidRDefault="00273D55" w:rsidP="00F43E5F">
      <w:pPr>
        <w:rPr>
          <w:rFonts w:cs="Arial"/>
        </w:rPr>
      </w:pPr>
    </w:p>
    <w:p w14:paraId="08542841" w14:textId="77777777" w:rsidR="00273D55" w:rsidRDefault="00273D55" w:rsidP="00F43E5F">
      <w:pPr>
        <w:rPr>
          <w:rFonts w:cs="Arial"/>
        </w:rPr>
      </w:pPr>
    </w:p>
    <w:p w14:paraId="1F98EEC0" w14:textId="77777777" w:rsidR="00273D55" w:rsidRDefault="00273D55" w:rsidP="00F43E5F">
      <w:pPr>
        <w:rPr>
          <w:rFonts w:cs="Arial"/>
        </w:rPr>
      </w:pPr>
    </w:p>
    <w:p w14:paraId="490C0AE0" w14:textId="77777777" w:rsidR="00273D55" w:rsidRDefault="00273D55" w:rsidP="00F43E5F">
      <w:pPr>
        <w:rPr>
          <w:rFonts w:cs="Arial"/>
        </w:rPr>
      </w:pPr>
    </w:p>
    <w:p w14:paraId="6E0A0605" w14:textId="77777777" w:rsidR="00273D55" w:rsidRDefault="00273D55" w:rsidP="00F43E5F">
      <w:pPr>
        <w:rPr>
          <w:rFonts w:cs="Arial"/>
        </w:rPr>
      </w:pPr>
    </w:p>
    <w:p w14:paraId="1195D512" w14:textId="77777777" w:rsidR="00273D55" w:rsidRDefault="00B912B2" w:rsidP="00F43E5F">
      <w:pPr>
        <w:rPr>
          <w:rFonts w:cs="Arial"/>
        </w:rPr>
      </w:pPr>
      <w:r>
        <w:rPr>
          <w:rFonts w:cs="Arial"/>
        </w:rPr>
        <w:t>De raad van de gemeente Berkeland;</w:t>
      </w:r>
    </w:p>
    <w:p w14:paraId="3C1BD2B4" w14:textId="77777777" w:rsidR="00273D55" w:rsidRDefault="00273D55" w:rsidP="00F43E5F">
      <w:pPr>
        <w:rPr>
          <w:rFonts w:cs="Arial"/>
        </w:rPr>
      </w:pPr>
    </w:p>
    <w:p w14:paraId="126F21F4" w14:textId="2D1B0914" w:rsidR="00273D55" w:rsidRDefault="00B912B2" w:rsidP="00F43E5F">
      <w:pPr>
        <w:rPr>
          <w:rFonts w:cs="Arial"/>
        </w:rPr>
      </w:pPr>
      <w:r>
        <w:rPr>
          <w:rFonts w:cs="Arial"/>
        </w:rPr>
        <w:t xml:space="preserve">gelezen het voorstel van burgemeester en wethouders van </w:t>
      </w:r>
      <w:r>
        <w:rPr>
          <w:rFonts w:eastAsia="Arial" w:cs="Arial"/>
        </w:rPr>
        <w:t>4 juni 2024</w:t>
      </w:r>
    </w:p>
    <w:p w14:paraId="4C7649F5" w14:textId="77777777" w:rsidR="00273D55" w:rsidRDefault="00273D55" w:rsidP="00F43E5F">
      <w:pPr>
        <w:rPr>
          <w:rFonts w:cs="Arial"/>
        </w:rPr>
      </w:pPr>
    </w:p>
    <w:p w14:paraId="71001E4F" w14:textId="77777777" w:rsidR="00273D55" w:rsidRDefault="00B912B2" w:rsidP="00F43E5F">
      <w:pPr>
        <w:jc w:val="center"/>
        <w:rPr>
          <w:rFonts w:cs="Arial"/>
        </w:rPr>
      </w:pPr>
      <w:r>
        <w:rPr>
          <w:rFonts w:cs="Arial"/>
        </w:rPr>
        <w:t>b e s l u i t:</w:t>
      </w:r>
    </w:p>
    <w:p w14:paraId="2C97A287" w14:textId="77777777" w:rsidR="00273D55" w:rsidRDefault="00273D55" w:rsidP="00F43E5F">
      <w:pPr>
        <w:rPr>
          <w:rFonts w:cs="Arial"/>
        </w:rPr>
      </w:pPr>
    </w:p>
    <w:p w14:paraId="5042E930" w14:textId="77777777" w:rsidR="00273D55" w:rsidRDefault="00273D55" w:rsidP="00F43E5F">
      <w:pPr>
        <w:rPr>
          <w:rFonts w:cs="Arial"/>
        </w:rPr>
      </w:pPr>
    </w:p>
    <w:p w14:paraId="31F8AF9A" w14:textId="3B7DECD2" w:rsidR="00273D55" w:rsidRDefault="00323A81" w:rsidP="00F43E5F">
      <w:pPr>
        <w:rPr>
          <w:rFonts w:cs="Arial"/>
        </w:rPr>
      </w:pPr>
      <w:r>
        <w:rPr>
          <w:rFonts w:cs="Arial"/>
          <w:kern w:val="1"/>
          <w:lang w:eastAsia="zh-CN" w:bidi="hi-IN"/>
        </w:rPr>
        <w:t>De perspectiefnota 2025 vaststellen.</w:t>
      </w:r>
    </w:p>
    <w:p w14:paraId="2C7586A1" w14:textId="77777777" w:rsidR="00273D55" w:rsidRDefault="00273D55" w:rsidP="00F43E5F">
      <w:pPr>
        <w:rPr>
          <w:rFonts w:cs="Arial"/>
        </w:rPr>
      </w:pPr>
    </w:p>
    <w:p w14:paraId="33BAA69B" w14:textId="77777777" w:rsidR="00273D55" w:rsidRDefault="00273D55" w:rsidP="00F43E5F">
      <w:pPr>
        <w:rPr>
          <w:rFonts w:cs="Arial"/>
        </w:rPr>
      </w:pPr>
    </w:p>
    <w:p w14:paraId="1A96532A" w14:textId="1B395A92" w:rsidR="00273D55" w:rsidRDefault="00B912B2" w:rsidP="00F43E5F">
      <w:pPr>
        <w:rPr>
          <w:rFonts w:cs="Arial"/>
        </w:rPr>
      </w:pPr>
      <w:r>
        <w:rPr>
          <w:rFonts w:cs="Arial"/>
        </w:rPr>
        <w:t xml:space="preserve">Aldus vastgesteld in de raadsvergadering van </w:t>
      </w:r>
      <w:r>
        <w:rPr>
          <w:rFonts w:eastAsia="Arial" w:cs="Arial"/>
        </w:rPr>
        <w:t>2 juli 2024</w:t>
      </w:r>
    </w:p>
    <w:p w14:paraId="14013758" w14:textId="77777777" w:rsidR="00273D55" w:rsidRDefault="00273D55" w:rsidP="00F43E5F">
      <w:pPr>
        <w:rPr>
          <w:rFonts w:cs="Arial"/>
        </w:rPr>
      </w:pPr>
    </w:p>
    <w:tbl>
      <w:tblPr>
        <w:tblW w:w="0" w:type="auto"/>
        <w:tblBorders>
          <w:top w:val="nil"/>
          <w:left w:val="nil"/>
          <w:bottom w:val="nil"/>
          <w:right w:val="nil"/>
          <w:insideH w:val="nil"/>
          <w:insideV w:val="nil"/>
        </w:tblBorders>
        <w:tblLook w:val="04A0" w:firstRow="1" w:lastRow="0" w:firstColumn="1" w:lastColumn="0" w:noHBand="0" w:noVBand="1"/>
      </w:tblPr>
      <w:tblGrid>
        <w:gridCol w:w="2235"/>
        <w:gridCol w:w="6977"/>
      </w:tblGrid>
      <w:tr w:rsidR="00BF4F7B" w14:paraId="11CC3EF0" w14:textId="77777777">
        <w:tc>
          <w:tcPr>
            <w:tcW w:w="2235" w:type="dxa"/>
            <w:shd w:val="clear" w:color="auto" w:fill="auto"/>
          </w:tcPr>
          <w:p w14:paraId="0DB4F095" w14:textId="77777777" w:rsidR="00273D55" w:rsidRDefault="00B912B2">
            <w:pPr>
              <w:pStyle w:val="Standard"/>
              <w:ind w:right="-1407"/>
            </w:pPr>
            <w:r>
              <w:t>de griffier,</w:t>
            </w:r>
          </w:p>
          <w:p w14:paraId="717E2DC9" w14:textId="77777777" w:rsidR="00273D55" w:rsidRDefault="00273D55">
            <w:pPr>
              <w:pStyle w:val="Standard"/>
              <w:ind w:right="-1407"/>
            </w:pPr>
          </w:p>
          <w:p w14:paraId="10AF77ED" w14:textId="77777777" w:rsidR="00273D55" w:rsidRDefault="00273D55">
            <w:pPr>
              <w:pStyle w:val="Standard"/>
              <w:ind w:right="-1407"/>
            </w:pPr>
          </w:p>
        </w:tc>
        <w:tc>
          <w:tcPr>
            <w:tcW w:w="6977" w:type="dxa"/>
            <w:shd w:val="clear" w:color="auto" w:fill="auto"/>
          </w:tcPr>
          <w:p w14:paraId="369874F9" w14:textId="77777777" w:rsidR="00273D55" w:rsidRDefault="00B912B2">
            <w:pPr>
              <w:pStyle w:val="Standard"/>
              <w:ind w:right="-1407"/>
            </w:pPr>
            <w:r>
              <w:t xml:space="preserve">de </w:t>
            </w:r>
            <w:r>
              <w:t>voorzitter,</w:t>
            </w:r>
          </w:p>
        </w:tc>
      </w:tr>
      <w:tr w:rsidR="00BF4F7B" w14:paraId="40DDE985" w14:textId="77777777">
        <w:tc>
          <w:tcPr>
            <w:tcW w:w="2235" w:type="dxa"/>
            <w:shd w:val="clear" w:color="auto" w:fill="auto"/>
          </w:tcPr>
          <w:p w14:paraId="639745CB" w14:textId="77777777" w:rsidR="00273D55" w:rsidRDefault="00B912B2">
            <w:pPr>
              <w:pStyle w:val="Standard"/>
              <w:ind w:right="-1407"/>
            </w:pPr>
            <w:r w:rsidRPr="00F43E5F">
              <w:t>drs. J.A. Satijn</w:t>
            </w:r>
          </w:p>
        </w:tc>
        <w:tc>
          <w:tcPr>
            <w:tcW w:w="6977" w:type="dxa"/>
            <w:shd w:val="clear" w:color="auto" w:fill="auto"/>
          </w:tcPr>
          <w:p w14:paraId="3D5D56F6" w14:textId="77777777" w:rsidR="00273D55" w:rsidRDefault="00B912B2">
            <w:pPr>
              <w:pStyle w:val="Standard"/>
              <w:ind w:right="-1407"/>
            </w:pPr>
            <w:r>
              <w:t>drs. J.H.A. van Oostrum</w:t>
            </w:r>
          </w:p>
        </w:tc>
      </w:tr>
    </w:tbl>
    <w:p w14:paraId="1C54581A" w14:textId="77777777" w:rsidR="00273D55" w:rsidRDefault="00273D55" w:rsidP="00F43E5F">
      <w:pPr>
        <w:rPr>
          <w:rFonts w:cs="Arial"/>
        </w:rPr>
      </w:pPr>
    </w:p>
    <w:p w14:paraId="6AC4AD8B" w14:textId="77777777" w:rsidR="00273D55" w:rsidRDefault="00B912B2">
      <w:pPr>
        <w:rPr>
          <w:rFonts w:cs="Arial"/>
        </w:rPr>
      </w:pPr>
      <w:r>
        <w:rPr>
          <w:rFonts w:cs="Arial"/>
        </w:rPr>
        <w:br w:type="page"/>
      </w:r>
    </w:p>
    <w:p w14:paraId="16428E02" w14:textId="77777777" w:rsidR="00273D55" w:rsidRDefault="00B912B2" w:rsidP="00F43E5F">
      <w:pPr>
        <w:rPr>
          <w:rFonts w:cs="Arial"/>
          <w:b/>
          <w:bCs/>
        </w:rPr>
      </w:pPr>
      <w:r w:rsidRPr="00F43E5F">
        <w:rPr>
          <w:rFonts w:cs="Arial"/>
          <w:b/>
          <w:bCs/>
        </w:rPr>
        <w:t>Toelichting raadsvoorstel</w:t>
      </w:r>
    </w:p>
    <w:p w14:paraId="124E9468" w14:textId="77777777" w:rsidR="00273D55" w:rsidRPr="00553314" w:rsidRDefault="00273D55" w:rsidP="00F43E5F">
      <w:pPr>
        <w:rPr>
          <w:rFonts w:cs="Arial"/>
        </w:rPr>
      </w:pPr>
    </w:p>
    <w:tbl>
      <w:tblPr>
        <w:tblW w:w="9747" w:type="dxa"/>
        <w:tblBorders>
          <w:top w:val="nil"/>
          <w:left w:val="nil"/>
          <w:bottom w:val="nil"/>
          <w:right w:val="nil"/>
          <w:insideH w:val="nil"/>
          <w:insideV w:val="nil"/>
        </w:tblBorders>
        <w:tblLook w:val="04A0" w:firstRow="1" w:lastRow="0" w:firstColumn="1" w:lastColumn="0" w:noHBand="0" w:noVBand="1"/>
      </w:tblPr>
      <w:tblGrid>
        <w:gridCol w:w="2457"/>
        <w:gridCol w:w="286"/>
        <w:gridCol w:w="7004"/>
      </w:tblGrid>
      <w:tr w:rsidR="00BF4F7B" w14:paraId="525A8A3D" w14:textId="77777777">
        <w:tc>
          <w:tcPr>
            <w:tcW w:w="2457" w:type="dxa"/>
            <w:shd w:val="clear" w:color="auto" w:fill="auto"/>
          </w:tcPr>
          <w:p w14:paraId="6BA01DAA" w14:textId="77777777" w:rsidR="00273D55" w:rsidRDefault="00B912B2" w:rsidP="00C914BB">
            <w:pPr>
              <w:rPr>
                <w:rFonts w:cs="Arial"/>
                <w:lang w:eastAsia="zh-CN" w:bidi="hi-IN"/>
              </w:rPr>
            </w:pPr>
            <w:r>
              <w:rPr>
                <w:rFonts w:cs="Arial"/>
                <w:lang w:eastAsia="zh-CN" w:bidi="hi-IN"/>
              </w:rPr>
              <w:t>Onderwerp</w:t>
            </w:r>
          </w:p>
        </w:tc>
        <w:tc>
          <w:tcPr>
            <w:tcW w:w="286" w:type="dxa"/>
            <w:shd w:val="clear" w:color="auto" w:fill="auto"/>
          </w:tcPr>
          <w:p w14:paraId="789EF253" w14:textId="77777777" w:rsidR="00273D55" w:rsidRDefault="00B912B2" w:rsidP="00C914BB">
            <w:pPr>
              <w:rPr>
                <w:rFonts w:cs="Arial"/>
                <w:lang w:eastAsia="zh-CN" w:bidi="hi-IN"/>
              </w:rPr>
            </w:pPr>
            <w:r>
              <w:rPr>
                <w:rFonts w:cs="Arial"/>
                <w:lang w:eastAsia="zh-CN" w:bidi="hi-IN"/>
              </w:rPr>
              <w:t>:</w:t>
            </w:r>
          </w:p>
        </w:tc>
        <w:tc>
          <w:tcPr>
            <w:tcW w:w="7004" w:type="dxa"/>
            <w:shd w:val="clear" w:color="auto" w:fill="auto"/>
          </w:tcPr>
          <w:p w14:paraId="04C345D4" w14:textId="02E598F2" w:rsidR="00273D55" w:rsidRDefault="00B912B2" w:rsidP="00C914BB">
            <w:pPr>
              <w:rPr>
                <w:rFonts w:cs="Arial"/>
                <w:lang w:eastAsia="zh-CN" w:bidi="hi-IN"/>
              </w:rPr>
            </w:pPr>
            <w:r>
              <w:rPr>
                <w:rFonts w:eastAsia="Arial" w:cs="Arial"/>
                <w:lang w:eastAsia="zh-CN" w:bidi="hi-IN"/>
              </w:rPr>
              <w:t>Perspectiefnota 2025</w:t>
            </w:r>
          </w:p>
        </w:tc>
      </w:tr>
    </w:tbl>
    <w:p w14:paraId="76763726" w14:textId="77777777" w:rsidR="00273D55" w:rsidRPr="00553314" w:rsidRDefault="00273D55" w:rsidP="00F43E5F">
      <w:pPr>
        <w:rPr>
          <w:rFonts w:cs="Arial"/>
        </w:rPr>
      </w:pPr>
    </w:p>
    <w:p w14:paraId="302EA9B6" w14:textId="5619D585" w:rsidR="00273D55" w:rsidRPr="00804F8B" w:rsidRDefault="00E814F8" w:rsidP="00F43E5F">
      <w:pPr>
        <w:rPr>
          <w:rFonts w:cs="Arial"/>
        </w:rPr>
      </w:pPr>
      <w:r>
        <w:rPr>
          <w:rFonts w:cs="Arial"/>
        </w:rPr>
        <w:t>N.v.t.</w:t>
      </w:r>
    </w:p>
    <w:sectPr w:rsidR="00273D55" w:rsidRPr="00804F8B" w:rsidSect="00E445E6">
      <w:footerReference w:type="default" r:id="rId7"/>
      <w:headerReference w:type="first" r:id="rId8"/>
      <w:footerReference w:type="first" r:id="rId9"/>
      <w:pgSz w:w="11906" w:h="16838" w:code="9"/>
      <w:pgMar w:top="1418" w:right="907" w:bottom="1418" w:left="1644" w:header="0" w:footer="292" w:gutter="0"/>
      <w:paperSrc w:first="261"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31521" w14:textId="77777777" w:rsidR="003D62DD" w:rsidRDefault="003D62DD">
      <w:r>
        <w:separator/>
      </w:r>
    </w:p>
  </w:endnote>
  <w:endnote w:type="continuationSeparator" w:id="0">
    <w:p w14:paraId="4652702C" w14:textId="77777777" w:rsidR="003D62DD" w:rsidRDefault="003D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2035C" w14:textId="31C2AD38" w:rsidR="00286AF0" w:rsidRDefault="00B912B2" w:rsidP="00286AF0">
    <w:pPr>
      <w:pStyle w:val="Voettekst"/>
      <w:jc w:val="right"/>
    </w:pPr>
    <w:r>
      <w:fldChar w:fldCharType="begin"/>
    </w:r>
    <w:r>
      <w:instrText>PAGE   \* MERGEFORMAT</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0" w:type="dxa"/>
      <w:tblInd w:w="-108" w:type="dxa"/>
      <w:tblLayout w:type="fixed"/>
      <w:tblLook w:val="0000" w:firstRow="0" w:lastRow="0" w:firstColumn="0" w:lastColumn="0" w:noHBand="0" w:noVBand="0"/>
    </w:tblPr>
    <w:tblGrid>
      <w:gridCol w:w="4370"/>
      <w:gridCol w:w="5380"/>
    </w:tblGrid>
    <w:tr w:rsidR="00BF4F7B" w14:paraId="0DC11DB0" w14:textId="77777777" w:rsidTr="00344AD8">
      <w:tc>
        <w:tcPr>
          <w:tcW w:w="4370" w:type="dxa"/>
        </w:tcPr>
        <w:p w14:paraId="1EC619A3" w14:textId="77777777" w:rsidR="00B05D6D" w:rsidRDefault="00B912B2" w:rsidP="00B05D6D">
          <w:pPr>
            <w:pStyle w:val="Voettekst"/>
            <w:rPr>
              <w:rFonts w:cs="Arial"/>
              <w:sz w:val="16"/>
              <w:szCs w:val="16"/>
            </w:rPr>
          </w:pPr>
          <w:r>
            <w:rPr>
              <w:rFonts w:cs="Arial"/>
              <w:sz w:val="16"/>
              <w:szCs w:val="16"/>
            </w:rPr>
            <w:t>In te vullen door Griffie:</w:t>
          </w:r>
        </w:p>
      </w:tc>
      <w:tc>
        <w:tcPr>
          <w:tcW w:w="5380" w:type="dxa"/>
        </w:tcPr>
        <w:p w14:paraId="30D24580" w14:textId="77777777" w:rsidR="00B05D6D" w:rsidRDefault="00B05D6D" w:rsidP="00B05D6D">
          <w:pPr>
            <w:pStyle w:val="Voettekst"/>
            <w:rPr>
              <w:rFonts w:cs="Arial"/>
              <w:sz w:val="16"/>
              <w:szCs w:val="16"/>
              <w:u w:val="single"/>
            </w:rPr>
          </w:pPr>
        </w:p>
      </w:tc>
    </w:tr>
    <w:tr w:rsidR="00BF4F7B" w14:paraId="2CBDDE10" w14:textId="77777777" w:rsidTr="00344AD8">
      <w:tc>
        <w:tcPr>
          <w:tcW w:w="4370" w:type="dxa"/>
        </w:tcPr>
        <w:p w14:paraId="449CA8C7" w14:textId="77777777" w:rsidR="00B05D6D" w:rsidRDefault="00B05D6D" w:rsidP="00B05D6D">
          <w:pPr>
            <w:pStyle w:val="Voettekst"/>
            <w:rPr>
              <w:rFonts w:cs="Arial"/>
              <w:sz w:val="16"/>
              <w:szCs w:val="16"/>
            </w:rPr>
          </w:pPr>
        </w:p>
      </w:tc>
      <w:tc>
        <w:tcPr>
          <w:tcW w:w="5380" w:type="dxa"/>
        </w:tcPr>
        <w:p w14:paraId="4903AAD7" w14:textId="77777777" w:rsidR="00B05D6D" w:rsidRDefault="00B05D6D" w:rsidP="00B05D6D">
          <w:pPr>
            <w:pStyle w:val="Voettekst"/>
            <w:rPr>
              <w:rFonts w:cs="Arial"/>
              <w:sz w:val="16"/>
              <w:szCs w:val="16"/>
            </w:rPr>
          </w:pPr>
        </w:p>
      </w:tc>
    </w:tr>
    <w:tr w:rsidR="00BF4F7B" w14:paraId="492BBAB3" w14:textId="77777777" w:rsidTr="00344AD8">
      <w:tc>
        <w:tcPr>
          <w:tcW w:w="4370" w:type="dxa"/>
        </w:tcPr>
        <w:p w14:paraId="0AFCCB21" w14:textId="77777777" w:rsidR="00B05D6D" w:rsidRDefault="00B05D6D" w:rsidP="00B05D6D">
          <w:pPr>
            <w:pStyle w:val="Voettekst"/>
            <w:rPr>
              <w:rFonts w:cs="Arial"/>
              <w:sz w:val="16"/>
              <w:szCs w:val="16"/>
              <w:u w:val="single"/>
            </w:rPr>
          </w:pPr>
        </w:p>
      </w:tc>
      <w:tc>
        <w:tcPr>
          <w:tcW w:w="5380" w:type="dxa"/>
        </w:tcPr>
        <w:p w14:paraId="1F097720" w14:textId="77777777" w:rsidR="00B05D6D" w:rsidRDefault="00B912B2" w:rsidP="00B05D6D">
          <w:pPr>
            <w:pStyle w:val="Voettekst"/>
            <w:rPr>
              <w:rFonts w:cs="Arial"/>
              <w:sz w:val="16"/>
              <w:szCs w:val="16"/>
              <w:u w:val="single"/>
            </w:rPr>
          </w:pPr>
          <w:r>
            <w:rPr>
              <w:rFonts w:cs="Arial"/>
              <w:sz w:val="16"/>
              <w:szCs w:val="16"/>
              <w:u w:val="single"/>
            </w:rPr>
            <w:t>Raadsvergadering</w:t>
          </w:r>
        </w:p>
      </w:tc>
    </w:tr>
    <w:tr w:rsidR="00BF4F7B" w14:paraId="233CAFBB" w14:textId="77777777" w:rsidTr="00344AD8">
      <w:tc>
        <w:tcPr>
          <w:tcW w:w="4370" w:type="dxa"/>
        </w:tcPr>
        <w:p w14:paraId="2DA64816" w14:textId="77777777" w:rsidR="00B05D6D" w:rsidRDefault="00B05D6D" w:rsidP="00B05D6D">
          <w:pPr>
            <w:pStyle w:val="Voettekst"/>
            <w:rPr>
              <w:rFonts w:cs="Arial"/>
              <w:sz w:val="16"/>
              <w:szCs w:val="16"/>
            </w:rPr>
          </w:pPr>
        </w:p>
      </w:tc>
      <w:tc>
        <w:tcPr>
          <w:tcW w:w="5380" w:type="dxa"/>
        </w:tcPr>
        <w:p w14:paraId="5F282C69" w14:textId="77777777" w:rsidR="00B05D6D" w:rsidRDefault="00B912B2" w:rsidP="00B05D6D">
          <w:pPr>
            <w:pStyle w:val="Voettekst"/>
            <w:rPr>
              <w:rFonts w:cs="Arial"/>
              <w:sz w:val="16"/>
              <w:szCs w:val="16"/>
            </w:rPr>
          </w:pPr>
          <w:r>
            <w:rPr>
              <w:rFonts w:cs="Arial"/>
              <w:sz w:val="16"/>
              <w:szCs w:val="16"/>
            </w:rPr>
            <w:t xml:space="preserve">0 zonder </w:t>
          </w:r>
          <w:r>
            <w:rPr>
              <w:rFonts w:cs="Arial"/>
              <w:sz w:val="16"/>
              <w:szCs w:val="16"/>
            </w:rPr>
            <w:t>hoofdelijke stemming</w:t>
          </w:r>
        </w:p>
      </w:tc>
    </w:tr>
    <w:tr w:rsidR="00BF4F7B" w14:paraId="18755606" w14:textId="77777777" w:rsidTr="00344AD8">
      <w:tc>
        <w:tcPr>
          <w:tcW w:w="4370" w:type="dxa"/>
        </w:tcPr>
        <w:p w14:paraId="6A2E6EE0" w14:textId="77777777" w:rsidR="00B05D6D" w:rsidRDefault="00B05D6D" w:rsidP="00B05D6D">
          <w:pPr>
            <w:pStyle w:val="Voettekst"/>
            <w:rPr>
              <w:rFonts w:cs="Arial"/>
              <w:sz w:val="16"/>
              <w:szCs w:val="16"/>
            </w:rPr>
          </w:pPr>
        </w:p>
      </w:tc>
      <w:tc>
        <w:tcPr>
          <w:tcW w:w="5380" w:type="dxa"/>
        </w:tcPr>
        <w:p w14:paraId="12606E54" w14:textId="77777777" w:rsidR="00B05D6D" w:rsidRDefault="00B912B2" w:rsidP="00B05D6D">
          <w:pPr>
            <w:pStyle w:val="Voettekst"/>
            <w:rPr>
              <w:rFonts w:cs="Arial"/>
              <w:sz w:val="16"/>
              <w:szCs w:val="16"/>
            </w:rPr>
          </w:pPr>
          <w:r>
            <w:rPr>
              <w:rFonts w:cs="Arial"/>
              <w:sz w:val="16"/>
              <w:szCs w:val="16"/>
            </w:rPr>
            <w:t>0 met algemene stemmen</w:t>
          </w:r>
        </w:p>
      </w:tc>
    </w:tr>
    <w:tr w:rsidR="00BF4F7B" w14:paraId="5A74072C" w14:textId="77777777" w:rsidTr="00344AD8">
      <w:tc>
        <w:tcPr>
          <w:tcW w:w="4370" w:type="dxa"/>
        </w:tcPr>
        <w:p w14:paraId="6871DEEC" w14:textId="77777777" w:rsidR="00B05D6D" w:rsidRDefault="00B05D6D" w:rsidP="00B05D6D">
          <w:pPr>
            <w:pStyle w:val="Voettekst"/>
            <w:rPr>
              <w:rFonts w:cs="Arial"/>
              <w:sz w:val="16"/>
              <w:szCs w:val="16"/>
            </w:rPr>
          </w:pPr>
        </w:p>
      </w:tc>
      <w:tc>
        <w:tcPr>
          <w:tcW w:w="5380" w:type="dxa"/>
        </w:tcPr>
        <w:p w14:paraId="7381ED28" w14:textId="77777777" w:rsidR="00B05D6D" w:rsidRDefault="00B912B2" w:rsidP="00B05D6D">
          <w:pPr>
            <w:pStyle w:val="Voettekst"/>
            <w:rPr>
              <w:rFonts w:cs="Arial"/>
              <w:sz w:val="16"/>
              <w:szCs w:val="16"/>
            </w:rPr>
          </w:pPr>
          <w:r>
            <w:rPr>
              <w:rFonts w:cs="Arial"/>
              <w:sz w:val="16"/>
              <w:szCs w:val="16"/>
            </w:rPr>
            <w:t>0        stemmen voor,          stemmen tegen</w:t>
          </w:r>
        </w:p>
      </w:tc>
    </w:tr>
    <w:tr w:rsidR="00BF4F7B" w14:paraId="309C293E" w14:textId="77777777" w:rsidTr="00344AD8">
      <w:tc>
        <w:tcPr>
          <w:tcW w:w="4370" w:type="dxa"/>
        </w:tcPr>
        <w:p w14:paraId="304415B3" w14:textId="77777777" w:rsidR="00B05D6D" w:rsidRDefault="00B05D6D" w:rsidP="00B05D6D">
          <w:pPr>
            <w:pStyle w:val="Voettekst"/>
            <w:rPr>
              <w:rFonts w:cs="Arial"/>
              <w:sz w:val="16"/>
              <w:szCs w:val="16"/>
            </w:rPr>
          </w:pPr>
        </w:p>
      </w:tc>
      <w:tc>
        <w:tcPr>
          <w:tcW w:w="5380" w:type="dxa"/>
        </w:tcPr>
        <w:p w14:paraId="3F015163" w14:textId="77777777" w:rsidR="00B05D6D" w:rsidRDefault="00B912B2" w:rsidP="00B05D6D">
          <w:pPr>
            <w:pStyle w:val="Voettekst"/>
            <w:rPr>
              <w:rFonts w:cs="Arial"/>
              <w:sz w:val="16"/>
              <w:szCs w:val="16"/>
            </w:rPr>
          </w:pPr>
          <w:r>
            <w:rPr>
              <w:rFonts w:cs="Arial"/>
              <w:sz w:val="16"/>
              <w:szCs w:val="16"/>
            </w:rPr>
            <w:t>0 aangenomen</w:t>
          </w:r>
        </w:p>
      </w:tc>
    </w:tr>
    <w:tr w:rsidR="00BF4F7B" w14:paraId="4900BD5C" w14:textId="77777777" w:rsidTr="00344AD8">
      <w:tc>
        <w:tcPr>
          <w:tcW w:w="4370" w:type="dxa"/>
        </w:tcPr>
        <w:p w14:paraId="71E70709" w14:textId="77777777" w:rsidR="00B05D6D" w:rsidRDefault="00B05D6D" w:rsidP="00B05D6D">
          <w:pPr>
            <w:pStyle w:val="Voettekst"/>
          </w:pPr>
        </w:p>
      </w:tc>
      <w:tc>
        <w:tcPr>
          <w:tcW w:w="5380" w:type="dxa"/>
        </w:tcPr>
        <w:p w14:paraId="4705EA77" w14:textId="77777777" w:rsidR="00B05D6D" w:rsidRDefault="00B912B2" w:rsidP="00B05D6D">
          <w:pPr>
            <w:pStyle w:val="Voettekst"/>
            <w:rPr>
              <w:rFonts w:cs="Arial"/>
              <w:sz w:val="16"/>
              <w:szCs w:val="16"/>
            </w:rPr>
          </w:pPr>
          <w:r>
            <w:rPr>
              <w:rFonts w:cs="Arial"/>
              <w:sz w:val="16"/>
              <w:szCs w:val="16"/>
            </w:rPr>
            <w:t>0 verworpen</w:t>
          </w:r>
        </w:p>
      </w:tc>
    </w:tr>
  </w:tbl>
  <w:p w14:paraId="08920BAD" w14:textId="77777777" w:rsidR="00590F1A" w:rsidRDefault="00B912B2" w:rsidP="00F32ACE">
    <w:pPr>
      <w:pStyle w:val="Voettekst"/>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FBA68" w14:textId="77777777" w:rsidR="003D62DD" w:rsidRDefault="003D62DD">
      <w:r>
        <w:separator/>
      </w:r>
    </w:p>
  </w:footnote>
  <w:footnote w:type="continuationSeparator" w:id="0">
    <w:p w14:paraId="7C737D9B" w14:textId="77777777" w:rsidR="003D62DD" w:rsidRDefault="003D6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09F00" w14:textId="77777777" w:rsidR="00590F1A" w:rsidRDefault="00590F1A" w:rsidP="00B75137">
    <w:pPr>
      <w:pStyle w:val="Koptekst"/>
      <w:framePr w:wrap="around" w:vAnchor="text" w:hAnchor="margin" w:xAlign="right" w:y="1"/>
      <w:rPr>
        <w:rStyle w:val="Paginanummer"/>
      </w:rPr>
    </w:pPr>
  </w:p>
  <w:p w14:paraId="5960A681" w14:textId="77777777" w:rsidR="00590F1A" w:rsidRDefault="00B912B2" w:rsidP="00E4763B">
    <w:pPr>
      <w:pStyle w:val="Koptekst"/>
    </w:pPr>
    <w:r>
      <w:rPr>
        <w:noProof/>
      </w:rPr>
      <w:pict w14:anchorId="7555A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258.3pt;margin-top:1.5pt;width:213pt;height:84.75pt;z-index:251657728;visibility:visible;mso-wrap-style:square;mso-width-relative:page;mso-height-relative:page">
          <v:imagedata r:id="rId1" o:title="2019-01-17-02-Logo-Berkelland-PMS-[Omgezet]-Transparant-BlauwelettersBerkelland-400x160"/>
        </v:shape>
      </w:pict>
    </w:r>
  </w:p>
  <w:p w14:paraId="6BE08518" w14:textId="77777777" w:rsidR="00590F1A" w:rsidRPr="00E4763B" w:rsidRDefault="00590F1A" w:rsidP="00E4763B">
    <w:pPr>
      <w:pStyle w:val="Koptekst"/>
      <w:rPr>
        <w:sz w:val="16"/>
        <w:szCs w:val="16"/>
      </w:rPr>
    </w:pPr>
  </w:p>
  <w:p w14:paraId="1F5EC895" w14:textId="77777777" w:rsidR="00590F1A" w:rsidRPr="00E4763B" w:rsidRDefault="00590F1A" w:rsidP="00E4763B">
    <w:pPr>
      <w:pStyle w:val="Koptekst"/>
      <w:rPr>
        <w:sz w:val="16"/>
        <w:szCs w:val="16"/>
      </w:rPr>
    </w:pPr>
  </w:p>
  <w:p w14:paraId="1241AE1C" w14:textId="77777777" w:rsidR="00590F1A" w:rsidRDefault="00590F1A" w:rsidP="00E4763B">
    <w:pPr>
      <w:pStyle w:val="Koptekst"/>
    </w:pPr>
  </w:p>
  <w:p w14:paraId="7CC12190" w14:textId="77777777" w:rsidR="00590F1A" w:rsidRDefault="00590F1A" w:rsidP="00E4763B">
    <w:pPr>
      <w:pStyle w:val="Koptekst"/>
      <w:rPr>
        <w:b/>
        <w:bCs/>
        <w:sz w:val="24"/>
        <w:szCs w:val="24"/>
      </w:rPr>
    </w:pPr>
  </w:p>
  <w:p w14:paraId="183196C3" w14:textId="77777777" w:rsidR="00590F1A" w:rsidRDefault="00B912B2" w:rsidP="00E4763B">
    <w:pPr>
      <w:pStyle w:val="Koptekst"/>
      <w:rPr>
        <w:b/>
        <w:bCs/>
        <w:sz w:val="24"/>
        <w:szCs w:val="24"/>
      </w:rPr>
    </w:pPr>
    <w:r w:rsidRPr="00A74400">
      <w:rPr>
        <w:b/>
        <w:bCs/>
        <w:sz w:val="24"/>
        <w:szCs w:val="24"/>
      </w:rPr>
      <w:t>Raadsvoorstel</w:t>
    </w:r>
  </w:p>
  <w:p w14:paraId="41717DA6" w14:textId="77777777" w:rsidR="00590F1A" w:rsidRDefault="00590F1A" w:rsidP="00E4763B">
    <w:pPr>
      <w:pStyle w:val="Koptekst"/>
    </w:pPr>
  </w:p>
  <w:p w14:paraId="39EE15BB" w14:textId="77777777" w:rsidR="00590F1A" w:rsidRDefault="00590F1A" w:rsidP="00E4763B">
    <w:pPr>
      <w:pStyle w:val="Koptekst"/>
    </w:pPr>
  </w:p>
  <w:p w14:paraId="7DC48B42" w14:textId="77777777" w:rsidR="00590F1A" w:rsidRDefault="00590F1A" w:rsidP="00E4763B">
    <w:pPr>
      <w:pStyle w:val="Koptekst"/>
    </w:pPr>
  </w:p>
  <w:p w14:paraId="781F6B7E" w14:textId="77777777" w:rsidR="00590F1A" w:rsidRPr="00A74400" w:rsidRDefault="00590F1A" w:rsidP="00E4763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05"/>
  <w:displayHorizontalDrawingGridEvery w:val="2"/>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6AF0"/>
    <w:rsid w:val="00107E0A"/>
    <w:rsid w:val="00176FD0"/>
    <w:rsid w:val="001B01BC"/>
    <w:rsid w:val="00273D55"/>
    <w:rsid w:val="00286AF0"/>
    <w:rsid w:val="003048ED"/>
    <w:rsid w:val="00323A81"/>
    <w:rsid w:val="003B0E03"/>
    <w:rsid w:val="003D62DD"/>
    <w:rsid w:val="005405B7"/>
    <w:rsid w:val="00541835"/>
    <w:rsid w:val="00553314"/>
    <w:rsid w:val="00577693"/>
    <w:rsid w:val="00590F1A"/>
    <w:rsid w:val="005B17CF"/>
    <w:rsid w:val="006D38BA"/>
    <w:rsid w:val="006F207E"/>
    <w:rsid w:val="0071004A"/>
    <w:rsid w:val="007D1B77"/>
    <w:rsid w:val="00804F8B"/>
    <w:rsid w:val="008A79F8"/>
    <w:rsid w:val="00920B90"/>
    <w:rsid w:val="00946C64"/>
    <w:rsid w:val="00A74400"/>
    <w:rsid w:val="00B05D6D"/>
    <w:rsid w:val="00B75137"/>
    <w:rsid w:val="00B912B2"/>
    <w:rsid w:val="00BF4F7B"/>
    <w:rsid w:val="00BF7AB4"/>
    <w:rsid w:val="00C914BB"/>
    <w:rsid w:val="00D43562"/>
    <w:rsid w:val="00D95C71"/>
    <w:rsid w:val="00E34E21"/>
    <w:rsid w:val="00E445E6"/>
    <w:rsid w:val="00E4763B"/>
    <w:rsid w:val="00E814F8"/>
    <w:rsid w:val="00EB1533"/>
    <w:rsid w:val="00F32ACE"/>
    <w:rsid w:val="00F43E5F"/>
    <w:rsid w:val="00F653C3"/>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37A3FDC"/>
  <w15:docId w15:val="{14C71CF7-DC85-402C-AA6D-75995D97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Arial" w:hAnsi="Arial"/>
      <w:sz w:val="21"/>
      <w:szCs w:val="21"/>
    </w:rPr>
  </w:style>
  <w:style w:type="paragraph" w:styleId="Kop2">
    <w:name w:val="heading 2"/>
    <w:basedOn w:val="Standaard"/>
    <w:next w:val="Standaard"/>
    <w:qFormat/>
    <w:rsid w:val="0010569F"/>
    <w:pPr>
      <w:keepNext/>
      <w:spacing w:before="240" w:after="60"/>
      <w:outlineLvl w:val="1"/>
    </w:pPr>
    <w:rPr>
      <w:rFonts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E024EE"/>
    <w:pPr>
      <w:tabs>
        <w:tab w:val="center" w:pos="4536"/>
        <w:tab w:val="right" w:pos="9072"/>
      </w:tabs>
    </w:pPr>
  </w:style>
  <w:style w:type="paragraph" w:styleId="Voettekst">
    <w:name w:val="footer"/>
    <w:basedOn w:val="Standaard"/>
    <w:link w:val="VoettekstChar"/>
    <w:rsid w:val="00E024EE"/>
    <w:pPr>
      <w:tabs>
        <w:tab w:val="center" w:pos="4536"/>
        <w:tab w:val="right" w:pos="9072"/>
      </w:tabs>
    </w:pPr>
  </w:style>
  <w:style w:type="table" w:styleId="Tabelraster">
    <w:name w:val="Table Grid"/>
    <w:basedOn w:val="Standaardtabel"/>
    <w:rsid w:val="00E02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7241"/>
    <w:rPr>
      <w:color w:val="0000FF"/>
      <w:u w:val="single"/>
    </w:rPr>
  </w:style>
  <w:style w:type="character" w:styleId="Paginanummer">
    <w:name w:val="page number"/>
    <w:basedOn w:val="Standaardalinea-lettertype"/>
    <w:rsid w:val="006E10D8"/>
  </w:style>
  <w:style w:type="character" w:customStyle="1" w:styleId="VoettekstChar">
    <w:name w:val="Voettekst Char"/>
    <w:link w:val="Voettekst"/>
    <w:rsid w:val="00472448"/>
    <w:rPr>
      <w:rFonts w:ascii="Arial" w:hAnsi="Arial"/>
      <w:sz w:val="21"/>
      <w:szCs w:val="21"/>
    </w:rPr>
  </w:style>
  <w:style w:type="character" w:styleId="GevolgdeHyperlink">
    <w:name w:val="FollowedHyperlink"/>
    <w:semiHidden/>
    <w:unhideWhenUsed/>
    <w:rsid w:val="00472448"/>
    <w:rPr>
      <w:color w:val="800080"/>
      <w:u w:val="single"/>
    </w:rPr>
  </w:style>
  <w:style w:type="paragraph" w:customStyle="1" w:styleId="Standard">
    <w:name w:val="Standard"/>
    <w:rsid w:val="00946C64"/>
    <w:pPr>
      <w:suppressAutoHyphens/>
      <w:autoSpaceDN w:val="0"/>
      <w:textAlignment w:val="baseline"/>
    </w:pPr>
    <w:rPr>
      <w:rFonts w:ascii="Arial" w:eastAsia="Arial" w:hAnsi="Arial" w:cs="Arial"/>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AA2FA-9DF8-486C-A49F-8044D89A5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555</Words>
  <Characters>3053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Gussekloo, Eric</dc:creator>
  <cp:lastModifiedBy>Gussekloo, Eric</cp:lastModifiedBy>
  <cp:revision>2</cp:revision>
  <cp:lastPrinted>2007-03-14T08:42:00Z</cp:lastPrinted>
  <dcterms:created xsi:type="dcterms:W3CDTF">2024-06-13T05:57:00Z</dcterms:created>
  <dcterms:modified xsi:type="dcterms:W3CDTF">2024-06-13T05:57:00Z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74371b-00bc-4f5f-bda4-767e2f169618_ActionId">
    <vt:lpwstr>7bd62c02-ebe2-4188-98ef-cee1548d8c5b</vt:lpwstr>
  </property>
  <property fmtid="{D5CDD505-2E9C-101B-9397-08002B2CF9AE}" pid="3" name="MSIP_Label_8d74371b-00bc-4f5f-bda4-767e2f169618_ContentBits">
    <vt:lpwstr>0</vt:lpwstr>
  </property>
  <property fmtid="{D5CDD505-2E9C-101B-9397-08002B2CF9AE}" pid="4" name="MSIP_Label_8d74371b-00bc-4f5f-bda4-767e2f169618_Enabled">
    <vt:lpwstr>true</vt:lpwstr>
  </property>
  <property fmtid="{D5CDD505-2E9C-101B-9397-08002B2CF9AE}" pid="5" name="MSIP_Label_8d74371b-00bc-4f5f-bda4-767e2f169618_Method">
    <vt:lpwstr>Standard</vt:lpwstr>
  </property>
  <property fmtid="{D5CDD505-2E9C-101B-9397-08002B2CF9AE}" pid="6" name="MSIP_Label_8d74371b-00bc-4f5f-bda4-767e2f169618_Name">
    <vt:lpwstr>defa4170-0d19-0005-0004-bc88714345d2</vt:lpwstr>
  </property>
  <property fmtid="{D5CDD505-2E9C-101B-9397-08002B2CF9AE}" pid="7" name="MSIP_Label_8d74371b-00bc-4f5f-bda4-767e2f169618_SetDate">
    <vt:lpwstr>2023-10-02T12:06:14Z</vt:lpwstr>
  </property>
  <property fmtid="{D5CDD505-2E9C-101B-9397-08002B2CF9AE}" pid="8" name="MSIP_Label_8d74371b-00bc-4f5f-bda4-767e2f169618_SiteId">
    <vt:lpwstr>8d5745e1-89d2-4419-8818-eed15ab2e79f</vt:lpwstr>
  </property>
  <property fmtid="{D5CDD505-2E9C-101B-9397-08002B2CF9AE}" pid="9" name="p1/1">
    <vt:lpwstr>logo</vt:lpwstr>
  </property>
  <property fmtid="{D5CDD505-2E9C-101B-9397-08002B2CF9AE}" pid="10" name="p2/1">
    <vt:lpwstr>blanco A4</vt:lpwstr>
  </property>
</Properties>
</file>