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F01" w:rsidRDefault="00797715">
      <w:r>
        <w:rPr>
          <w:noProof/>
        </w:rPr>
        <w:drawing>
          <wp:anchor distT="0" distB="0" distL="0" distR="0" simplePos="0" relativeHeight="3" behindDoc="0" locked="0" layoutInCell="1" allowOverlap="1">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7"/>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ook w:val="04A0" w:firstRow="1" w:lastRow="0" w:firstColumn="1" w:lastColumn="0" w:noHBand="0" w:noVBand="1"/>
      </w:tblPr>
      <w:tblGrid>
        <w:gridCol w:w="2320"/>
        <w:gridCol w:w="340"/>
        <w:gridCol w:w="3253"/>
        <w:gridCol w:w="715"/>
        <w:gridCol w:w="715"/>
        <w:gridCol w:w="299"/>
        <w:gridCol w:w="2108"/>
      </w:tblGrid>
      <w:tr w:rsidR="00F00F01">
        <w:trPr>
          <w:trHeight w:val="302"/>
        </w:trPr>
        <w:tc>
          <w:tcPr>
            <w:tcW w:w="2320" w:type="dxa"/>
            <w:shd w:val="clear" w:color="auto" w:fill="auto"/>
          </w:tcPr>
          <w:p w:rsidR="00F00F01" w:rsidRDefault="00797715">
            <w:pPr>
              <w:rPr>
                <w:rFonts w:cs="Arial"/>
                <w:szCs w:val="21"/>
              </w:rPr>
            </w:pPr>
            <w:r>
              <w:rPr>
                <w:rFonts w:cs="Arial"/>
                <w:szCs w:val="21"/>
              </w:rPr>
              <w:t>Zaaknummer</w:t>
            </w:r>
          </w:p>
        </w:tc>
        <w:tc>
          <w:tcPr>
            <w:tcW w:w="340" w:type="dxa"/>
            <w:shd w:val="clear" w:color="auto" w:fill="auto"/>
          </w:tcPr>
          <w:p w:rsidR="00F00F01" w:rsidRDefault="00797715">
            <w:pPr>
              <w:jc w:val="center"/>
              <w:rPr>
                <w:rFonts w:cs="Arial"/>
                <w:szCs w:val="21"/>
              </w:rPr>
            </w:pPr>
            <w:r>
              <w:rPr>
                <w:rFonts w:cs="Arial"/>
                <w:szCs w:val="21"/>
              </w:rPr>
              <w:t>:</w:t>
            </w:r>
          </w:p>
        </w:tc>
        <w:tc>
          <w:tcPr>
            <w:tcW w:w="3253" w:type="dxa"/>
            <w:shd w:val="clear" w:color="auto" w:fill="auto"/>
          </w:tcPr>
          <w:p w:rsidR="00F00F01" w:rsidRDefault="00797715">
            <w:pPr>
              <w:rPr>
                <w:rFonts w:cs="Arial"/>
                <w:szCs w:val="21"/>
              </w:rPr>
            </w:pPr>
            <w:r>
              <w:rPr>
                <w:rFonts w:cs="Arial"/>
                <w:szCs w:val="21"/>
              </w:rPr>
              <w:t>195410</w:t>
            </w:r>
          </w:p>
        </w:tc>
        <w:tc>
          <w:tcPr>
            <w:tcW w:w="1430" w:type="dxa"/>
            <w:gridSpan w:val="2"/>
            <w:shd w:val="clear" w:color="auto" w:fill="auto"/>
          </w:tcPr>
          <w:p w:rsidR="00F00F01" w:rsidRDefault="00F00F01">
            <w:pPr>
              <w:rPr>
                <w:rFonts w:cs="Arial"/>
                <w:szCs w:val="21"/>
              </w:rPr>
            </w:pPr>
          </w:p>
        </w:tc>
        <w:tc>
          <w:tcPr>
            <w:tcW w:w="299" w:type="dxa"/>
            <w:shd w:val="clear" w:color="auto" w:fill="auto"/>
          </w:tcPr>
          <w:p w:rsidR="00F00F01" w:rsidRDefault="00F00F01">
            <w:pPr>
              <w:rPr>
                <w:rFonts w:cs="Arial"/>
                <w:szCs w:val="21"/>
              </w:rPr>
            </w:pPr>
          </w:p>
        </w:tc>
        <w:tc>
          <w:tcPr>
            <w:tcW w:w="2108" w:type="dxa"/>
            <w:shd w:val="clear" w:color="auto" w:fill="auto"/>
          </w:tcPr>
          <w:p w:rsidR="00F00F01" w:rsidRDefault="00F00F01">
            <w:pPr>
              <w:rPr>
                <w:rFonts w:cs="Arial"/>
                <w:szCs w:val="21"/>
              </w:rPr>
            </w:pPr>
          </w:p>
        </w:tc>
      </w:tr>
      <w:tr w:rsidR="00F00F01">
        <w:trPr>
          <w:trHeight w:val="302"/>
        </w:trPr>
        <w:tc>
          <w:tcPr>
            <w:tcW w:w="2320" w:type="dxa"/>
            <w:shd w:val="clear" w:color="auto" w:fill="auto"/>
          </w:tcPr>
          <w:p w:rsidR="00F00F01" w:rsidRDefault="00F00F01">
            <w:pPr>
              <w:rPr>
                <w:rFonts w:cs="Arial"/>
                <w:b/>
                <w:szCs w:val="21"/>
              </w:rPr>
            </w:pPr>
          </w:p>
        </w:tc>
        <w:tc>
          <w:tcPr>
            <w:tcW w:w="340" w:type="dxa"/>
            <w:shd w:val="clear" w:color="auto" w:fill="auto"/>
          </w:tcPr>
          <w:p w:rsidR="00F00F01" w:rsidRDefault="00F00F01">
            <w:pPr>
              <w:jc w:val="center"/>
              <w:rPr>
                <w:rFonts w:cs="Arial"/>
                <w:szCs w:val="21"/>
              </w:rPr>
            </w:pPr>
          </w:p>
        </w:tc>
        <w:tc>
          <w:tcPr>
            <w:tcW w:w="4683" w:type="dxa"/>
            <w:gridSpan w:val="3"/>
            <w:shd w:val="clear" w:color="auto" w:fill="auto"/>
          </w:tcPr>
          <w:p w:rsidR="00F00F01" w:rsidRDefault="00F00F01">
            <w:pPr>
              <w:rPr>
                <w:szCs w:val="21"/>
              </w:rPr>
            </w:pPr>
          </w:p>
        </w:tc>
        <w:tc>
          <w:tcPr>
            <w:tcW w:w="299" w:type="dxa"/>
            <w:shd w:val="clear" w:color="auto" w:fill="auto"/>
          </w:tcPr>
          <w:p w:rsidR="00F00F01" w:rsidRDefault="00F00F01">
            <w:pPr>
              <w:rPr>
                <w:rFonts w:cs="Arial"/>
                <w:b/>
                <w:szCs w:val="21"/>
              </w:rPr>
            </w:pPr>
          </w:p>
        </w:tc>
        <w:tc>
          <w:tcPr>
            <w:tcW w:w="2108" w:type="dxa"/>
            <w:shd w:val="clear" w:color="auto" w:fill="auto"/>
          </w:tcPr>
          <w:p w:rsidR="00F00F01" w:rsidRDefault="00F00F01">
            <w:pPr>
              <w:rPr>
                <w:rFonts w:cs="Arial"/>
                <w:b/>
                <w:szCs w:val="21"/>
              </w:rPr>
            </w:pPr>
          </w:p>
        </w:tc>
      </w:tr>
      <w:tr w:rsidR="00F00F01">
        <w:trPr>
          <w:trHeight w:val="302"/>
        </w:trPr>
        <w:tc>
          <w:tcPr>
            <w:tcW w:w="2320" w:type="dxa"/>
            <w:shd w:val="clear" w:color="auto" w:fill="auto"/>
          </w:tcPr>
          <w:p w:rsidR="00F00F01" w:rsidRDefault="00797715">
            <w:pPr>
              <w:rPr>
                <w:rFonts w:cs="Arial"/>
                <w:b/>
                <w:szCs w:val="21"/>
              </w:rPr>
            </w:pPr>
            <w:r>
              <w:rPr>
                <w:rFonts w:cs="Arial"/>
                <w:b/>
                <w:szCs w:val="21"/>
              </w:rPr>
              <w:t>Raadsvergadering</w:t>
            </w:r>
          </w:p>
        </w:tc>
        <w:tc>
          <w:tcPr>
            <w:tcW w:w="340" w:type="dxa"/>
            <w:shd w:val="clear" w:color="auto" w:fill="auto"/>
          </w:tcPr>
          <w:p w:rsidR="00F00F01" w:rsidRDefault="00797715">
            <w:pPr>
              <w:jc w:val="center"/>
              <w:rPr>
                <w:rFonts w:cs="Arial"/>
                <w:szCs w:val="21"/>
              </w:rPr>
            </w:pPr>
            <w:r>
              <w:rPr>
                <w:rFonts w:cs="Arial"/>
                <w:szCs w:val="21"/>
              </w:rPr>
              <w:t>:</w:t>
            </w:r>
          </w:p>
        </w:tc>
        <w:tc>
          <w:tcPr>
            <w:tcW w:w="4683" w:type="dxa"/>
            <w:gridSpan w:val="3"/>
            <w:shd w:val="clear" w:color="auto" w:fill="auto"/>
          </w:tcPr>
          <w:p w:rsidR="00F00F01" w:rsidRDefault="00797715">
            <w:r>
              <w:rPr>
                <w:rFonts w:cs="Arial"/>
                <w:b/>
                <w:bCs/>
                <w:color w:val="333333"/>
                <w:szCs w:val="21"/>
              </w:rPr>
              <w:t>13-07-2021</w:t>
            </w:r>
          </w:p>
        </w:tc>
        <w:tc>
          <w:tcPr>
            <w:tcW w:w="299" w:type="dxa"/>
            <w:shd w:val="clear" w:color="auto" w:fill="auto"/>
          </w:tcPr>
          <w:p w:rsidR="00F00F01" w:rsidRDefault="00F00F01">
            <w:pPr>
              <w:rPr>
                <w:rFonts w:cs="Arial"/>
                <w:b/>
                <w:szCs w:val="21"/>
              </w:rPr>
            </w:pPr>
          </w:p>
        </w:tc>
        <w:tc>
          <w:tcPr>
            <w:tcW w:w="2108" w:type="dxa"/>
            <w:shd w:val="clear" w:color="auto" w:fill="auto"/>
          </w:tcPr>
          <w:p w:rsidR="00F00F01" w:rsidRDefault="00F00F01">
            <w:pPr>
              <w:rPr>
                <w:rFonts w:cs="Arial"/>
                <w:b/>
                <w:szCs w:val="21"/>
              </w:rPr>
            </w:pPr>
          </w:p>
        </w:tc>
      </w:tr>
      <w:tr w:rsidR="00F00F01">
        <w:trPr>
          <w:trHeight w:val="208"/>
        </w:trPr>
        <w:tc>
          <w:tcPr>
            <w:tcW w:w="2320" w:type="dxa"/>
            <w:shd w:val="clear" w:color="auto" w:fill="auto"/>
          </w:tcPr>
          <w:p w:rsidR="00F00F01" w:rsidRDefault="00F00F01">
            <w:pPr>
              <w:rPr>
                <w:rFonts w:cs="Arial"/>
                <w:b/>
                <w:szCs w:val="21"/>
              </w:rPr>
            </w:pPr>
          </w:p>
        </w:tc>
        <w:tc>
          <w:tcPr>
            <w:tcW w:w="340" w:type="dxa"/>
            <w:shd w:val="clear" w:color="auto" w:fill="auto"/>
          </w:tcPr>
          <w:p w:rsidR="00F00F01" w:rsidRDefault="00F00F01">
            <w:pPr>
              <w:jc w:val="center"/>
              <w:rPr>
                <w:rFonts w:cs="Arial"/>
                <w:szCs w:val="21"/>
              </w:rPr>
            </w:pPr>
          </w:p>
        </w:tc>
        <w:tc>
          <w:tcPr>
            <w:tcW w:w="3253" w:type="dxa"/>
            <w:shd w:val="clear" w:color="auto" w:fill="auto"/>
          </w:tcPr>
          <w:p w:rsidR="00F00F01" w:rsidRDefault="00F00F01">
            <w:pPr>
              <w:rPr>
                <w:rFonts w:cs="Arial"/>
                <w:szCs w:val="21"/>
              </w:rPr>
            </w:pPr>
          </w:p>
        </w:tc>
        <w:tc>
          <w:tcPr>
            <w:tcW w:w="1430" w:type="dxa"/>
            <w:gridSpan w:val="2"/>
            <w:shd w:val="clear" w:color="auto" w:fill="auto"/>
          </w:tcPr>
          <w:p w:rsidR="00F00F01" w:rsidRDefault="00F00F01">
            <w:pPr>
              <w:rPr>
                <w:rFonts w:cs="Arial"/>
                <w:szCs w:val="21"/>
              </w:rPr>
            </w:pPr>
          </w:p>
        </w:tc>
        <w:tc>
          <w:tcPr>
            <w:tcW w:w="299" w:type="dxa"/>
            <w:shd w:val="clear" w:color="auto" w:fill="auto"/>
          </w:tcPr>
          <w:p w:rsidR="00F00F01" w:rsidRDefault="00F00F01">
            <w:pPr>
              <w:rPr>
                <w:rFonts w:cs="Arial"/>
                <w:szCs w:val="21"/>
              </w:rPr>
            </w:pPr>
          </w:p>
        </w:tc>
        <w:tc>
          <w:tcPr>
            <w:tcW w:w="2108" w:type="dxa"/>
            <w:shd w:val="clear" w:color="auto" w:fill="auto"/>
          </w:tcPr>
          <w:p w:rsidR="00F00F01" w:rsidRDefault="00F00F01">
            <w:pPr>
              <w:rPr>
                <w:rFonts w:cs="Arial"/>
                <w:szCs w:val="21"/>
              </w:rPr>
            </w:pPr>
          </w:p>
        </w:tc>
      </w:tr>
      <w:tr w:rsidR="00F00F01">
        <w:tc>
          <w:tcPr>
            <w:tcW w:w="2320" w:type="dxa"/>
            <w:shd w:val="clear" w:color="auto" w:fill="auto"/>
          </w:tcPr>
          <w:p w:rsidR="00F00F01" w:rsidRDefault="00797715">
            <w:r>
              <w:rPr>
                <w:rFonts w:cs="Arial"/>
                <w:b/>
                <w:szCs w:val="21"/>
              </w:rPr>
              <w:t>Onderwerp</w:t>
            </w:r>
          </w:p>
        </w:tc>
        <w:tc>
          <w:tcPr>
            <w:tcW w:w="340" w:type="dxa"/>
            <w:shd w:val="clear" w:color="auto" w:fill="auto"/>
          </w:tcPr>
          <w:p w:rsidR="00F00F01" w:rsidRDefault="00797715">
            <w:pPr>
              <w:jc w:val="center"/>
              <w:rPr>
                <w:rFonts w:cs="Arial"/>
                <w:szCs w:val="21"/>
              </w:rPr>
            </w:pPr>
            <w:r>
              <w:rPr>
                <w:rFonts w:cs="Arial"/>
                <w:szCs w:val="21"/>
              </w:rPr>
              <w:t>:</w:t>
            </w:r>
          </w:p>
        </w:tc>
        <w:tc>
          <w:tcPr>
            <w:tcW w:w="7090" w:type="dxa"/>
            <w:gridSpan w:val="5"/>
            <w:shd w:val="clear" w:color="auto" w:fill="auto"/>
          </w:tcPr>
          <w:p w:rsidR="00F00F01" w:rsidRDefault="00797715">
            <w:pPr>
              <w:rPr>
                <w:rFonts w:cs="Arial"/>
                <w:b/>
                <w:bCs/>
                <w:color w:val="333333"/>
                <w:szCs w:val="21"/>
              </w:rPr>
            </w:pPr>
            <w:r>
              <w:rPr>
                <w:rFonts w:cs="Arial"/>
                <w:b/>
                <w:bCs/>
                <w:color w:val="333333"/>
                <w:szCs w:val="21"/>
              </w:rPr>
              <w:t>Perspectiefnota 2022</w:t>
            </w:r>
          </w:p>
        </w:tc>
      </w:tr>
      <w:tr w:rsidR="00F00F01">
        <w:tc>
          <w:tcPr>
            <w:tcW w:w="2320" w:type="dxa"/>
            <w:shd w:val="clear" w:color="auto" w:fill="auto"/>
          </w:tcPr>
          <w:p w:rsidR="00F00F01" w:rsidRDefault="00F00F01">
            <w:pPr>
              <w:rPr>
                <w:rFonts w:cs="Arial"/>
                <w:szCs w:val="21"/>
              </w:rPr>
            </w:pPr>
          </w:p>
        </w:tc>
        <w:tc>
          <w:tcPr>
            <w:tcW w:w="340" w:type="dxa"/>
            <w:shd w:val="clear" w:color="auto" w:fill="auto"/>
          </w:tcPr>
          <w:p w:rsidR="00F00F01" w:rsidRDefault="00F00F01">
            <w:pPr>
              <w:jc w:val="center"/>
              <w:rPr>
                <w:rFonts w:cs="Arial"/>
                <w:szCs w:val="21"/>
              </w:rPr>
            </w:pPr>
          </w:p>
        </w:tc>
        <w:tc>
          <w:tcPr>
            <w:tcW w:w="4982" w:type="dxa"/>
            <w:gridSpan w:val="4"/>
            <w:shd w:val="clear" w:color="auto" w:fill="auto"/>
          </w:tcPr>
          <w:p w:rsidR="00F00F01" w:rsidRDefault="00F00F01">
            <w:pPr>
              <w:rPr>
                <w:rFonts w:cs="Arial"/>
                <w:szCs w:val="21"/>
              </w:rPr>
            </w:pPr>
          </w:p>
        </w:tc>
        <w:tc>
          <w:tcPr>
            <w:tcW w:w="2108" w:type="dxa"/>
            <w:shd w:val="clear" w:color="auto" w:fill="auto"/>
          </w:tcPr>
          <w:p w:rsidR="00F00F01" w:rsidRDefault="00F00F01">
            <w:pPr>
              <w:rPr>
                <w:rFonts w:cs="Arial"/>
                <w:szCs w:val="21"/>
              </w:rPr>
            </w:pPr>
          </w:p>
        </w:tc>
      </w:tr>
      <w:tr w:rsidR="00F00F01">
        <w:tc>
          <w:tcPr>
            <w:tcW w:w="2320" w:type="dxa"/>
            <w:shd w:val="clear" w:color="auto" w:fill="auto"/>
          </w:tcPr>
          <w:p w:rsidR="00F00F01" w:rsidRDefault="00797715">
            <w:pPr>
              <w:rPr>
                <w:rFonts w:cs="Arial"/>
                <w:szCs w:val="21"/>
              </w:rPr>
            </w:pPr>
            <w:r>
              <w:rPr>
                <w:rFonts w:cs="Arial"/>
                <w:szCs w:val="21"/>
              </w:rPr>
              <w:t>Collegevergadering</w:t>
            </w:r>
          </w:p>
        </w:tc>
        <w:tc>
          <w:tcPr>
            <w:tcW w:w="340" w:type="dxa"/>
            <w:shd w:val="clear" w:color="auto" w:fill="auto"/>
          </w:tcPr>
          <w:p w:rsidR="00F00F01" w:rsidRDefault="00797715">
            <w:pPr>
              <w:jc w:val="center"/>
              <w:rPr>
                <w:rFonts w:cs="Arial"/>
                <w:szCs w:val="21"/>
              </w:rPr>
            </w:pPr>
            <w:r>
              <w:rPr>
                <w:rFonts w:cs="Arial"/>
                <w:szCs w:val="21"/>
              </w:rPr>
              <w:t>:</w:t>
            </w:r>
          </w:p>
        </w:tc>
        <w:tc>
          <w:tcPr>
            <w:tcW w:w="4982" w:type="dxa"/>
            <w:gridSpan w:val="4"/>
            <w:shd w:val="clear" w:color="auto" w:fill="auto"/>
          </w:tcPr>
          <w:p w:rsidR="00F00F01" w:rsidRDefault="00797715">
            <w:r>
              <w:rPr>
                <w:rFonts w:cs="Arial"/>
                <w:color w:val="333333"/>
                <w:szCs w:val="21"/>
              </w:rPr>
              <w:t>15-06-2021</w:t>
            </w:r>
          </w:p>
        </w:tc>
        <w:tc>
          <w:tcPr>
            <w:tcW w:w="2108" w:type="dxa"/>
            <w:shd w:val="clear" w:color="auto" w:fill="auto"/>
          </w:tcPr>
          <w:p w:rsidR="00F00F01" w:rsidRDefault="00F00F01">
            <w:pPr>
              <w:rPr>
                <w:rFonts w:cs="Arial"/>
                <w:szCs w:val="21"/>
              </w:rPr>
            </w:pPr>
          </w:p>
        </w:tc>
      </w:tr>
      <w:tr w:rsidR="00F00F01">
        <w:tc>
          <w:tcPr>
            <w:tcW w:w="2320" w:type="dxa"/>
            <w:shd w:val="clear" w:color="auto" w:fill="auto"/>
          </w:tcPr>
          <w:p w:rsidR="00F00F01" w:rsidRDefault="00797715">
            <w:pPr>
              <w:rPr>
                <w:rFonts w:cs="Arial"/>
                <w:szCs w:val="21"/>
              </w:rPr>
            </w:pPr>
            <w:r>
              <w:rPr>
                <w:rFonts w:cs="Arial"/>
                <w:szCs w:val="21"/>
              </w:rPr>
              <w:t>Portefeuillehouder</w:t>
            </w:r>
          </w:p>
        </w:tc>
        <w:tc>
          <w:tcPr>
            <w:tcW w:w="340" w:type="dxa"/>
            <w:shd w:val="clear" w:color="auto" w:fill="auto"/>
          </w:tcPr>
          <w:p w:rsidR="00F00F01" w:rsidRDefault="00797715">
            <w:pPr>
              <w:jc w:val="center"/>
              <w:rPr>
                <w:rFonts w:cs="Arial"/>
                <w:szCs w:val="21"/>
              </w:rPr>
            </w:pPr>
            <w:r>
              <w:rPr>
                <w:rFonts w:cs="Arial"/>
                <w:szCs w:val="21"/>
              </w:rPr>
              <w:t>:</w:t>
            </w:r>
          </w:p>
        </w:tc>
        <w:tc>
          <w:tcPr>
            <w:tcW w:w="4982" w:type="dxa"/>
            <w:gridSpan w:val="4"/>
            <w:shd w:val="clear" w:color="auto" w:fill="auto"/>
          </w:tcPr>
          <w:p w:rsidR="00F00F01" w:rsidRDefault="00797715">
            <w:r>
              <w:rPr>
                <w:rFonts w:cs="Arial"/>
                <w:color w:val="333333"/>
                <w:szCs w:val="21"/>
              </w:rPr>
              <w:t>Wethouder G.J. Teselink</w:t>
            </w:r>
          </w:p>
        </w:tc>
        <w:tc>
          <w:tcPr>
            <w:tcW w:w="2108" w:type="dxa"/>
            <w:shd w:val="clear" w:color="auto" w:fill="auto"/>
          </w:tcPr>
          <w:p w:rsidR="00F00F01" w:rsidRDefault="00F00F01">
            <w:pPr>
              <w:rPr>
                <w:rFonts w:cs="Arial"/>
                <w:szCs w:val="21"/>
              </w:rPr>
            </w:pPr>
          </w:p>
        </w:tc>
      </w:tr>
      <w:tr w:rsidR="00F00F01">
        <w:tc>
          <w:tcPr>
            <w:tcW w:w="2320" w:type="dxa"/>
            <w:shd w:val="clear" w:color="auto" w:fill="auto"/>
          </w:tcPr>
          <w:p w:rsidR="00F00F01" w:rsidRDefault="00797715">
            <w:pPr>
              <w:rPr>
                <w:rFonts w:cs="Arial"/>
                <w:szCs w:val="21"/>
              </w:rPr>
            </w:pPr>
            <w:r>
              <w:rPr>
                <w:rFonts w:cs="Arial"/>
                <w:szCs w:val="21"/>
              </w:rPr>
              <w:t xml:space="preserve">Steller </w:t>
            </w:r>
          </w:p>
        </w:tc>
        <w:tc>
          <w:tcPr>
            <w:tcW w:w="340" w:type="dxa"/>
            <w:shd w:val="clear" w:color="auto" w:fill="auto"/>
          </w:tcPr>
          <w:p w:rsidR="00F00F01" w:rsidRDefault="00797715">
            <w:pPr>
              <w:jc w:val="center"/>
              <w:rPr>
                <w:rFonts w:cs="Arial"/>
                <w:szCs w:val="21"/>
              </w:rPr>
            </w:pPr>
            <w:r>
              <w:rPr>
                <w:rFonts w:cs="Arial"/>
                <w:szCs w:val="21"/>
              </w:rPr>
              <w:t>:</w:t>
            </w:r>
          </w:p>
        </w:tc>
        <w:tc>
          <w:tcPr>
            <w:tcW w:w="3968" w:type="dxa"/>
            <w:gridSpan w:val="2"/>
            <w:shd w:val="clear" w:color="auto" w:fill="auto"/>
          </w:tcPr>
          <w:p w:rsidR="00F00F01" w:rsidRDefault="00797715">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shd w:val="clear" w:color="auto" w:fill="auto"/>
          </w:tcPr>
          <w:p w:rsidR="00F00F01" w:rsidRDefault="00797715">
            <w:pPr>
              <w:rPr>
                <w:rFonts w:cs="Arial"/>
                <w:szCs w:val="21"/>
              </w:rPr>
            </w:pPr>
            <w:r>
              <w:rPr>
                <w:rFonts w:cs="Arial"/>
                <w:szCs w:val="21"/>
              </w:rPr>
              <w:t xml:space="preserve">tel.            </w:t>
            </w:r>
          </w:p>
        </w:tc>
        <w:tc>
          <w:tcPr>
            <w:tcW w:w="299" w:type="dxa"/>
            <w:shd w:val="clear" w:color="auto" w:fill="auto"/>
          </w:tcPr>
          <w:p w:rsidR="00F00F01" w:rsidRDefault="00797715">
            <w:pPr>
              <w:rPr>
                <w:rFonts w:cs="Arial"/>
                <w:szCs w:val="21"/>
              </w:rPr>
            </w:pPr>
            <w:r>
              <w:rPr>
                <w:rFonts w:cs="Arial"/>
                <w:szCs w:val="21"/>
              </w:rPr>
              <w:t>:</w:t>
            </w:r>
          </w:p>
        </w:tc>
        <w:tc>
          <w:tcPr>
            <w:tcW w:w="2108" w:type="dxa"/>
            <w:shd w:val="clear" w:color="auto" w:fill="auto"/>
          </w:tcPr>
          <w:p w:rsidR="00F00F01" w:rsidRDefault="00797715">
            <w:pPr>
              <w:rPr>
                <w:rFonts w:cs="Arial"/>
                <w:szCs w:val="21"/>
              </w:rPr>
            </w:pPr>
            <w:r>
              <w:rPr>
                <w:rFonts w:cs="Arial"/>
                <w:szCs w:val="21"/>
              </w:rPr>
              <w:t>0545250576</w:t>
            </w:r>
          </w:p>
        </w:tc>
      </w:tr>
      <w:tr w:rsidR="00F00F01">
        <w:tc>
          <w:tcPr>
            <w:tcW w:w="2320" w:type="dxa"/>
            <w:shd w:val="clear" w:color="auto" w:fill="auto"/>
          </w:tcPr>
          <w:p w:rsidR="00F00F01" w:rsidRDefault="00F00F01">
            <w:pPr>
              <w:rPr>
                <w:rFonts w:cs="Arial"/>
                <w:szCs w:val="21"/>
              </w:rPr>
            </w:pPr>
          </w:p>
        </w:tc>
        <w:tc>
          <w:tcPr>
            <w:tcW w:w="340" w:type="dxa"/>
            <w:shd w:val="clear" w:color="auto" w:fill="auto"/>
          </w:tcPr>
          <w:p w:rsidR="00F00F01" w:rsidRDefault="00F00F01">
            <w:pPr>
              <w:jc w:val="center"/>
              <w:rPr>
                <w:rFonts w:cs="Arial"/>
                <w:szCs w:val="21"/>
              </w:rPr>
            </w:pPr>
          </w:p>
        </w:tc>
        <w:tc>
          <w:tcPr>
            <w:tcW w:w="3968" w:type="dxa"/>
            <w:gridSpan w:val="2"/>
            <w:shd w:val="clear" w:color="auto" w:fill="auto"/>
          </w:tcPr>
          <w:p w:rsidR="00F00F01" w:rsidRDefault="00F00F01">
            <w:pPr>
              <w:rPr>
                <w:rFonts w:cs="Arial"/>
                <w:color w:val="333333"/>
                <w:szCs w:val="21"/>
              </w:rPr>
            </w:pPr>
          </w:p>
        </w:tc>
        <w:tc>
          <w:tcPr>
            <w:tcW w:w="715" w:type="dxa"/>
            <w:shd w:val="clear" w:color="auto" w:fill="auto"/>
          </w:tcPr>
          <w:p w:rsidR="00F00F01" w:rsidRDefault="00F00F01">
            <w:pPr>
              <w:rPr>
                <w:rFonts w:cs="Arial"/>
                <w:szCs w:val="21"/>
              </w:rPr>
            </w:pPr>
          </w:p>
        </w:tc>
        <w:tc>
          <w:tcPr>
            <w:tcW w:w="299" w:type="dxa"/>
            <w:shd w:val="clear" w:color="auto" w:fill="auto"/>
          </w:tcPr>
          <w:p w:rsidR="00F00F01" w:rsidRDefault="00F00F01">
            <w:pPr>
              <w:rPr>
                <w:rFonts w:cs="Arial"/>
                <w:szCs w:val="21"/>
              </w:rPr>
            </w:pPr>
          </w:p>
        </w:tc>
        <w:tc>
          <w:tcPr>
            <w:tcW w:w="2108" w:type="dxa"/>
            <w:shd w:val="clear" w:color="auto" w:fill="auto"/>
          </w:tcPr>
          <w:p w:rsidR="00F00F01" w:rsidRDefault="00F00F01">
            <w:pPr>
              <w:rPr>
                <w:rFonts w:cs="Arial"/>
                <w:szCs w:val="21"/>
              </w:rPr>
            </w:pPr>
          </w:p>
        </w:tc>
      </w:tr>
    </w:tbl>
    <w:p w:rsidR="00F00F01" w:rsidRDefault="00F00F01">
      <w:pPr>
        <w:ind w:right="-1407"/>
        <w:rPr>
          <w:rFonts w:cs="Arial"/>
          <w:b/>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F00F01">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F00F01" w:rsidRDefault="00797715">
            <w:pPr>
              <w:ind w:left="57"/>
            </w:pPr>
            <w:r>
              <w:rPr>
                <w:rFonts w:cs="Arial"/>
                <w:b/>
                <w:szCs w:val="21"/>
              </w:rPr>
              <w:t>Te nemen besluit</w:t>
            </w:r>
            <w:r>
              <w:rPr>
                <w:szCs w:val="21"/>
              </w:rPr>
              <w:t xml:space="preserve"> </w:t>
            </w:r>
          </w:p>
          <w:p w:rsidR="00F00F01" w:rsidRDefault="00797715">
            <w:pPr>
              <w:pStyle w:val="Plattetekst"/>
              <w:numPr>
                <w:ilvl w:val="0"/>
                <w:numId w:val="2"/>
              </w:numPr>
              <w:tabs>
                <w:tab w:val="left" w:pos="0"/>
              </w:tabs>
              <w:spacing w:after="0"/>
              <w:ind w:left="633"/>
              <w:rPr>
                <w:rFonts w:cs="Arial"/>
                <w:szCs w:val="21"/>
              </w:rPr>
            </w:pPr>
            <w:r>
              <w:rPr>
                <w:rFonts w:cs="Arial"/>
                <w:szCs w:val="21"/>
              </w:rPr>
              <w:t>De perspectiefnota 2022 vaststellen.</w:t>
            </w:r>
          </w:p>
          <w:p w:rsidR="00F00F01" w:rsidRDefault="00797715">
            <w:pPr>
              <w:pStyle w:val="Plattetekst"/>
              <w:numPr>
                <w:ilvl w:val="0"/>
                <w:numId w:val="2"/>
              </w:numPr>
              <w:tabs>
                <w:tab w:val="left" w:pos="0"/>
              </w:tabs>
              <w:spacing w:after="0"/>
              <w:ind w:left="633"/>
              <w:rPr>
                <w:rFonts w:cs="Arial"/>
                <w:szCs w:val="21"/>
              </w:rPr>
            </w:pPr>
            <w:r>
              <w:rPr>
                <w:rFonts w:cs="Arial"/>
                <w:szCs w:val="21"/>
              </w:rPr>
              <w:t xml:space="preserve">Vanaf de begroting 2022 het programma ‘Financiën’ splitsen in het programma ‘Algemeen bestuur en bedrijfsvoering’ en het ‘Overzicht van algemene </w:t>
            </w:r>
            <w:r>
              <w:rPr>
                <w:rFonts w:cs="Arial"/>
                <w:szCs w:val="21"/>
              </w:rPr>
              <w:t>dekkingsmiddelen’.</w:t>
            </w:r>
          </w:p>
          <w:p w:rsidR="00F00F01" w:rsidRPr="005B15F1" w:rsidRDefault="00797715" w:rsidP="005B15F1">
            <w:pPr>
              <w:pStyle w:val="Plattetekst"/>
              <w:numPr>
                <w:ilvl w:val="0"/>
                <w:numId w:val="2"/>
              </w:numPr>
              <w:tabs>
                <w:tab w:val="left" w:pos="0"/>
              </w:tabs>
              <w:spacing w:after="0"/>
              <w:ind w:left="633"/>
              <w:rPr>
                <w:rFonts w:cs="Arial"/>
                <w:szCs w:val="21"/>
              </w:rPr>
            </w:pPr>
            <w:r w:rsidRPr="005B15F1">
              <w:rPr>
                <w:rFonts w:cs="Arial"/>
                <w:szCs w:val="21"/>
              </w:rPr>
              <w:t>Bij de begroting 2022 de incidentele wensen en investeringen dekken uit de algemene reserve.</w:t>
            </w:r>
          </w:p>
          <w:p w:rsidR="00F00F01" w:rsidRDefault="00797715">
            <w:pPr>
              <w:pStyle w:val="Plattetekst"/>
              <w:numPr>
                <w:ilvl w:val="0"/>
                <w:numId w:val="2"/>
              </w:numPr>
              <w:tabs>
                <w:tab w:val="left" w:pos="0"/>
              </w:tabs>
              <w:spacing w:after="0"/>
              <w:ind w:left="633"/>
              <w:rPr>
                <w:rFonts w:cs="Arial"/>
                <w:szCs w:val="21"/>
              </w:rPr>
            </w:pPr>
            <w:r>
              <w:rPr>
                <w:rFonts w:cs="Arial"/>
                <w:szCs w:val="21"/>
              </w:rPr>
              <w:t>De opbrengst van de Onroerende zaakbelastingen baseren op de huidige opbrengst plus areaaluitbreiding van objecten die na 1 januari 2021 gereed zijn gekomen.</w:t>
            </w:r>
          </w:p>
        </w:tc>
      </w:tr>
    </w:tbl>
    <w:p w:rsidR="00F00F01" w:rsidRDefault="00F00F01">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b/>
                <w:szCs w:val="21"/>
              </w:rPr>
            </w:pPr>
            <w:r>
              <w:rPr>
                <w:rFonts w:cs="Arial"/>
                <w:b/>
                <w:szCs w:val="21"/>
              </w:rPr>
              <w:t xml:space="preserve">Waarom dit voorstel en </w:t>
            </w:r>
            <w:r>
              <w:rPr>
                <w:rFonts w:cs="Arial"/>
                <w:b/>
                <w:szCs w:val="21"/>
              </w:rPr>
              <w:t>wat is het effect</w:t>
            </w:r>
          </w:p>
          <w:p w:rsidR="00F00F01" w:rsidRDefault="00797715">
            <w:pPr>
              <w:ind w:left="57"/>
              <w:rPr>
                <w:rFonts w:cs="Arial"/>
                <w:szCs w:val="21"/>
              </w:rPr>
            </w:pPr>
            <w:r>
              <w:rPr>
                <w:rFonts w:cs="Arial"/>
                <w:szCs w:val="21"/>
              </w:rPr>
              <w:t xml:space="preserve">De perspectiefnota maakt onderdeel uit van de planning en </w:t>
            </w:r>
            <w:proofErr w:type="spellStart"/>
            <w:r>
              <w:rPr>
                <w:rFonts w:cs="Arial"/>
                <w:szCs w:val="21"/>
              </w:rPr>
              <w:t>controlcyclus</w:t>
            </w:r>
            <w:proofErr w:type="spellEnd"/>
            <w:r>
              <w:rPr>
                <w:rFonts w:cs="Arial"/>
                <w:szCs w:val="21"/>
              </w:rPr>
              <w:t xml:space="preserve"> van de gemeente Berkelland. Het is het </w:t>
            </w:r>
            <w:proofErr w:type="spellStart"/>
            <w:r>
              <w:rPr>
                <w:rFonts w:cs="Arial"/>
                <w:szCs w:val="21"/>
              </w:rPr>
              <w:t>kaderstellende</w:t>
            </w:r>
            <w:proofErr w:type="spellEnd"/>
            <w:r>
              <w:rPr>
                <w:rFonts w:cs="Arial"/>
                <w:szCs w:val="21"/>
              </w:rPr>
              <w:t xml:space="preserve"> document voor het opstellen van de begroting 2022 en de meerjarenbegroting 2023 tot en met 2025. Door het </w:t>
            </w:r>
            <w:r>
              <w:rPr>
                <w:rFonts w:cs="Arial"/>
                <w:szCs w:val="21"/>
              </w:rPr>
              <w:t>vaststellen van de perspectiefnota kunnen de begroting 2022 en de meerjarenbegroting 2023 -2025 worden voorbereid binnen de kaders die u gesteld heeft.</w:t>
            </w:r>
          </w:p>
        </w:tc>
      </w:tr>
    </w:tbl>
    <w:p w:rsidR="00F00F01" w:rsidRDefault="00F00F01">
      <w:pPr>
        <w:ind w:right="-1407"/>
        <w:rPr>
          <w:rFonts w:cs="Arial"/>
          <w:color w:val="333333"/>
          <w:szCs w:val="21"/>
        </w:rPr>
      </w:pPr>
    </w:p>
    <w:tbl>
      <w:tblPr>
        <w:tblW w:w="9071"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tblCellMar>
          <w:top w:w="28" w:type="dxa"/>
          <w:left w:w="28" w:type="dxa"/>
          <w:bottom w:w="28" w:type="dxa"/>
          <w:right w:w="28" w:type="dxa"/>
        </w:tblCellMar>
        <w:tblLook w:val="04A0" w:firstRow="1" w:lastRow="0" w:firstColumn="1" w:lastColumn="0" w:noHBand="0" w:noVBand="1"/>
      </w:tblPr>
      <w:tblGrid>
        <w:gridCol w:w="9071"/>
      </w:tblGrid>
      <w:tr w:rsidR="00F00F01">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rsidR="00F00F01" w:rsidRDefault="00797715">
            <w:pPr>
              <w:pStyle w:val="TableContents"/>
              <w:rPr>
                <w:rFonts w:cs="Arial"/>
                <w:b/>
                <w:bCs/>
                <w:szCs w:val="21"/>
              </w:rPr>
            </w:pPr>
            <w:r>
              <w:rPr>
                <w:rFonts w:cs="Arial"/>
                <w:b/>
                <w:bCs/>
                <w:szCs w:val="21"/>
              </w:rPr>
              <w:t>Argumentatie</w:t>
            </w:r>
          </w:p>
          <w:p w:rsidR="00F00F01" w:rsidRDefault="00797715">
            <w:pPr>
              <w:pStyle w:val="Plattetekst"/>
              <w:numPr>
                <w:ilvl w:val="0"/>
                <w:numId w:val="3"/>
              </w:numPr>
              <w:tabs>
                <w:tab w:val="left" w:pos="0"/>
              </w:tabs>
              <w:spacing w:after="0"/>
              <w:rPr>
                <w:rFonts w:cs="Arial"/>
                <w:szCs w:val="21"/>
              </w:rPr>
            </w:pPr>
            <w:r>
              <w:rPr>
                <w:rFonts w:cs="Arial"/>
                <w:szCs w:val="21"/>
              </w:rPr>
              <w:t xml:space="preserve">De perspectiefnota 2022 geeft een doorkijk naar de begroting 2022 en het </w:t>
            </w:r>
            <w:r>
              <w:rPr>
                <w:rFonts w:cs="Arial"/>
                <w:szCs w:val="21"/>
              </w:rPr>
              <w:t>meerjarenperspectief. Voor het publiceren van de meicirculaire sluit de begroting in 2022 op nul in 2023 negatief en in 2024 en 2025 positief.</w:t>
            </w:r>
          </w:p>
          <w:p w:rsidR="00F00F01" w:rsidRDefault="00797715">
            <w:pPr>
              <w:pStyle w:val="Plattetekst"/>
              <w:numPr>
                <w:ilvl w:val="0"/>
                <w:numId w:val="3"/>
              </w:numPr>
              <w:tabs>
                <w:tab w:val="left" w:pos="0"/>
              </w:tabs>
              <w:spacing w:after="0"/>
              <w:rPr>
                <w:rFonts w:cs="Arial"/>
                <w:szCs w:val="21"/>
              </w:rPr>
            </w:pPr>
            <w:r>
              <w:rPr>
                <w:rFonts w:cs="Arial"/>
                <w:szCs w:val="21"/>
              </w:rPr>
              <w:t>De doorontwikkeling van de P&amp;C-documenten is een belangrijk project. Hierin worden verschillende stappen genomen.</w:t>
            </w:r>
            <w:r>
              <w:rPr>
                <w:rFonts w:cs="Arial"/>
                <w:szCs w:val="21"/>
              </w:rPr>
              <w:t xml:space="preserve"> Een stap is het opsplitsen van het programma Financiën in een programma Algemeen bestuur en bedrijfsvoering en het Overzicht van algemene dekkingsmiddelen. Het apart benoemen van het Overzicht van algemene dekkingsmiddelen sluit beter aan bij het Besluit </w:t>
            </w:r>
            <w:r>
              <w:rPr>
                <w:rFonts w:cs="Arial"/>
                <w:szCs w:val="21"/>
              </w:rPr>
              <w:t>Begroting en Verantwoording. Omdat na het afsplitsen van dit overzicht nog een restantprogramma Financiën overblijft nemen we dit op in het programma Algemeen bestuur en bedrijfsvoering.</w:t>
            </w:r>
          </w:p>
          <w:p w:rsidR="00F00F01" w:rsidRDefault="00797715">
            <w:pPr>
              <w:pStyle w:val="Plattetekst"/>
              <w:numPr>
                <w:ilvl w:val="0"/>
                <w:numId w:val="3"/>
              </w:numPr>
              <w:tabs>
                <w:tab w:val="left" w:pos="0"/>
              </w:tabs>
              <w:spacing w:after="0"/>
              <w:rPr>
                <w:rFonts w:cs="Arial"/>
                <w:szCs w:val="21"/>
              </w:rPr>
            </w:pPr>
            <w:r>
              <w:rPr>
                <w:rFonts w:cs="Arial"/>
                <w:szCs w:val="21"/>
              </w:rPr>
              <w:t>In de perspectiefnota zijn voor 2022, 2023 en 2024 incidentele wensen</w:t>
            </w:r>
            <w:r>
              <w:rPr>
                <w:rFonts w:cs="Arial"/>
                <w:szCs w:val="21"/>
              </w:rPr>
              <w:t xml:space="preserve"> en investeringen opgenomen. Deze wensen en investeringen kunnen we dekken uit de algemene reserve. In de begroting 2022 verwerken we dit.</w:t>
            </w:r>
          </w:p>
          <w:p w:rsidR="00F00F01" w:rsidRDefault="00797715">
            <w:pPr>
              <w:pStyle w:val="Plattetekst"/>
              <w:numPr>
                <w:ilvl w:val="0"/>
                <w:numId w:val="3"/>
              </w:numPr>
              <w:tabs>
                <w:tab w:val="left" w:pos="0"/>
              </w:tabs>
              <w:spacing w:after="0"/>
              <w:rPr>
                <w:rFonts w:cs="Arial"/>
                <w:szCs w:val="21"/>
              </w:rPr>
            </w:pPr>
            <w:r>
              <w:rPr>
                <w:rFonts w:cs="Arial"/>
                <w:szCs w:val="21"/>
              </w:rPr>
              <w:t>Een stijging van het aantal woningen en bedrijven leidt tot hogere lasten voor voorzieningen. Daarbij komt dat de algemene uitkering wordt gecorrigeerd voor de stijging in de WOZ waarden. Hogere waarden l</w:t>
            </w:r>
            <w:r>
              <w:rPr>
                <w:rFonts w:cs="Arial"/>
                <w:szCs w:val="21"/>
              </w:rPr>
              <w:t>eiden tot een lagere algemene uitkering. Een toename van het aantal objecten geeft ook de ruimte voor extra dekkingsmiddelen.</w:t>
            </w:r>
          </w:p>
        </w:tc>
      </w:tr>
    </w:tbl>
    <w:p w:rsidR="00F00F01" w:rsidRDefault="00F00F01">
      <w:pPr>
        <w:ind w:right="-1407"/>
        <w:rPr>
          <w:rFonts w:cs="Arial"/>
          <w:b/>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b/>
                <w:szCs w:val="21"/>
              </w:rPr>
            </w:pPr>
            <w:r>
              <w:rPr>
                <w:rFonts w:cs="Arial"/>
                <w:b/>
                <w:szCs w:val="21"/>
              </w:rPr>
              <w:t>Kanttekeningen en risico’s</w:t>
            </w:r>
          </w:p>
          <w:p w:rsidR="00F00F01" w:rsidRDefault="000D6635">
            <w:pPr>
              <w:ind w:left="57"/>
              <w:rPr>
                <w:rFonts w:cs="Arial"/>
                <w:color w:val="333333"/>
                <w:szCs w:val="21"/>
              </w:rPr>
            </w:pPr>
            <w:r>
              <w:rPr>
                <w:rFonts w:cs="Arial"/>
              </w:rPr>
              <w:t>D</w:t>
            </w:r>
            <w:r>
              <w:rPr>
                <w:rFonts w:cs="Arial"/>
              </w:rPr>
              <w:t>e Perspectiefnota gaat</w:t>
            </w:r>
            <w:r>
              <w:rPr>
                <w:rFonts w:cs="Arial"/>
              </w:rPr>
              <w:t xml:space="preserve"> uit</w:t>
            </w:r>
            <w:r>
              <w:rPr>
                <w:rFonts w:cs="Arial"/>
              </w:rPr>
              <w:t xml:space="preserve"> van de situatie </w:t>
            </w:r>
            <w:r w:rsidRPr="000D6635">
              <w:rPr>
                <w:rFonts w:cs="Arial"/>
              </w:rPr>
              <w:t>tot</w:t>
            </w:r>
            <w:r>
              <w:rPr>
                <w:rFonts w:cs="Arial"/>
              </w:rPr>
              <w:t xml:space="preserve"> </w:t>
            </w:r>
            <w:r>
              <w:rPr>
                <w:rFonts w:cs="Arial"/>
              </w:rPr>
              <w:t xml:space="preserve">de meicirculaire, overeenkomstig de </w:t>
            </w:r>
            <w:r>
              <w:rPr>
                <w:rFonts w:cs="Arial"/>
              </w:rPr>
              <w:t>bestendige</w:t>
            </w:r>
            <w:r>
              <w:rPr>
                <w:rFonts w:cs="Arial"/>
              </w:rPr>
              <w:t xml:space="preserve"> gedragslijn</w:t>
            </w:r>
            <w:r>
              <w:rPr>
                <w:rFonts w:cs="Arial"/>
              </w:rPr>
              <w:t xml:space="preserve">. </w:t>
            </w:r>
            <w:r w:rsidR="005B15F1">
              <w:rPr>
                <w:rFonts w:cs="Arial"/>
              </w:rPr>
              <w:t>Er zijn</w:t>
            </w:r>
            <w:r>
              <w:rPr>
                <w:rFonts w:cs="Arial"/>
              </w:rPr>
              <w:t xml:space="preserve"> echter</w:t>
            </w:r>
            <w:r w:rsidR="005B15F1">
              <w:rPr>
                <w:rFonts w:cs="Arial"/>
              </w:rPr>
              <w:t xml:space="preserve"> grote onzekerheden rond het </w:t>
            </w:r>
            <w:r w:rsidR="00C45571">
              <w:rPr>
                <w:rFonts w:cs="Arial"/>
              </w:rPr>
              <w:t>financiële</w:t>
            </w:r>
            <w:r>
              <w:rPr>
                <w:rFonts w:cs="Arial"/>
              </w:rPr>
              <w:t xml:space="preserve"> </w:t>
            </w:r>
            <w:r w:rsidR="005B15F1">
              <w:rPr>
                <w:rFonts w:cs="Arial"/>
              </w:rPr>
              <w:t xml:space="preserve">meerjarenperspectief. Enerzijds is er nog geen kabinet dat hier meer inzicht in gaat verschaffen. Anderzijds is er ook nog geen zekerheid rond de extra middelen Jeugdhulp die nu vrijwel zeker beschikbaar komen. Ook het kabinet erkent het probleem, maar wil ook niet over de toekomstige beschikbaarheid van extra middelen besluiten. We volgen daarom de lijn dat de voorliggende Perspectiefnota basis is voor de op te stellen begroting. De komende maanden gaan we op basis van het totaalbeeld van meicirculaire, septembercirculaire en mogelijke besluitvorming rond het toekennen van extra middelen Jeugdhulp werken aan een </w:t>
            </w:r>
            <w:r w:rsidR="00C45571">
              <w:rPr>
                <w:rFonts w:cs="Arial"/>
              </w:rPr>
              <w:t>definitief</w:t>
            </w:r>
            <w:r w:rsidR="005B15F1">
              <w:rPr>
                <w:rFonts w:cs="Arial"/>
              </w:rPr>
              <w:t xml:space="preserve"> dekkingsvoorstel voor de meerjarenbegroting. </w:t>
            </w:r>
            <w:r w:rsidR="00C45571">
              <w:rPr>
                <w:rFonts w:cs="Arial"/>
              </w:rPr>
              <w:t>D</w:t>
            </w:r>
            <w:r w:rsidR="005B15F1">
              <w:rPr>
                <w:rFonts w:cs="Arial"/>
              </w:rPr>
              <w:t xml:space="preserve">it voorstel wordt gelijktijdig met de begroting </w:t>
            </w:r>
            <w:r w:rsidR="00C45571">
              <w:rPr>
                <w:rFonts w:cs="Arial"/>
              </w:rPr>
              <w:t>aangeboden</w:t>
            </w:r>
            <w:r w:rsidR="00797715">
              <w:rPr>
                <w:rFonts w:cs="Arial"/>
                <w:color w:val="333333"/>
                <w:szCs w:val="21"/>
              </w:rPr>
              <w:t>.</w:t>
            </w:r>
          </w:p>
        </w:tc>
      </w:tr>
    </w:tbl>
    <w:p w:rsidR="00F00F01" w:rsidRDefault="00F00F01">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rPr>
                <w:rFonts w:cs="Arial"/>
                <w:b/>
                <w:szCs w:val="21"/>
              </w:rPr>
            </w:pPr>
            <w:r>
              <w:rPr>
                <w:rFonts w:cs="Arial"/>
                <w:b/>
                <w:szCs w:val="21"/>
              </w:rPr>
              <w:t>VN verdrag rechten van mensen met een beperkin</w:t>
            </w:r>
            <w:r>
              <w:rPr>
                <w:rFonts w:cs="Arial"/>
                <w:b/>
                <w:szCs w:val="21"/>
              </w:rPr>
              <w:t>g</w:t>
            </w:r>
          </w:p>
          <w:p w:rsidR="00F00F01" w:rsidRDefault="00797715">
            <w:pPr>
              <w:rPr>
                <w:rFonts w:cs="Arial"/>
                <w:szCs w:val="21"/>
              </w:rPr>
            </w:pPr>
            <w:r>
              <w:rPr>
                <w:rFonts w:cs="Arial"/>
                <w:szCs w:val="21"/>
              </w:rPr>
              <w:t>Niet van toepassing.</w:t>
            </w:r>
          </w:p>
        </w:tc>
      </w:tr>
    </w:tbl>
    <w:p w:rsidR="00F00F01" w:rsidRDefault="00F00F01">
      <w:pPr>
        <w:ind w:right="-1407"/>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b/>
                <w:szCs w:val="21"/>
              </w:rPr>
            </w:pPr>
            <w:r>
              <w:rPr>
                <w:rFonts w:cs="Arial"/>
                <w:b/>
                <w:szCs w:val="21"/>
              </w:rPr>
              <w:t>Communicatie</w:t>
            </w:r>
          </w:p>
          <w:p w:rsidR="00F00F01" w:rsidRDefault="00797715">
            <w:pPr>
              <w:ind w:left="57"/>
              <w:rPr>
                <w:rFonts w:cs="Arial"/>
                <w:szCs w:val="21"/>
              </w:rPr>
            </w:pPr>
            <w:r>
              <w:rPr>
                <w:rFonts w:cs="Arial"/>
                <w:szCs w:val="21"/>
              </w:rPr>
              <w:t>We communiceren over de perspectiefnota via een persbericht.</w:t>
            </w:r>
          </w:p>
        </w:tc>
      </w:tr>
    </w:tbl>
    <w:p w:rsidR="00F00F01" w:rsidRDefault="00F00F01">
      <w:pPr>
        <w:rPr>
          <w:rFonts w:cs="Arial"/>
          <w:b/>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b/>
                <w:szCs w:val="21"/>
              </w:rPr>
            </w:pPr>
            <w:r>
              <w:rPr>
                <w:rFonts w:cs="Arial"/>
                <w:b/>
                <w:szCs w:val="21"/>
              </w:rPr>
              <w:t>Initiatief, participatie en rol gemeente</w:t>
            </w:r>
          </w:p>
          <w:p w:rsidR="00F00F01" w:rsidRDefault="00797715">
            <w:pPr>
              <w:ind w:left="57"/>
              <w:rPr>
                <w:rFonts w:cs="Arial"/>
                <w:color w:val="333333"/>
                <w:szCs w:val="21"/>
              </w:rPr>
            </w:pPr>
            <w:r>
              <w:rPr>
                <w:rFonts w:cs="Arial"/>
                <w:color w:val="333333"/>
                <w:szCs w:val="21"/>
              </w:rPr>
              <w:t xml:space="preserve">De perspectiefnota maakt onderdeel uit van de P&amp;C cyclus van de gemeente. De Perspectiefnota 2022 is de </w:t>
            </w:r>
            <w:r>
              <w:rPr>
                <w:rFonts w:cs="Arial"/>
                <w:color w:val="333333"/>
                <w:szCs w:val="21"/>
              </w:rPr>
              <w:t>aftrap van de cyclus die betrekking heeft op het jaar 2022.</w:t>
            </w:r>
          </w:p>
        </w:tc>
      </w:tr>
    </w:tbl>
    <w:p w:rsidR="00F00F01" w:rsidRDefault="00F00F01">
      <w:pPr>
        <w:rPr>
          <w:rFonts w:cs="Arial"/>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b/>
                <w:szCs w:val="21"/>
              </w:rPr>
            </w:pPr>
            <w:r>
              <w:rPr>
                <w:rFonts w:cs="Arial"/>
                <w:b/>
                <w:szCs w:val="21"/>
              </w:rPr>
              <w:t>Planning en evaluatie</w:t>
            </w:r>
          </w:p>
          <w:p w:rsidR="00F00F01" w:rsidRDefault="00797715">
            <w:pPr>
              <w:ind w:left="57"/>
            </w:pPr>
            <w:r>
              <w:t xml:space="preserve">Evaluatie van de ontwikkelingen die in de Perspectiefnota 2022 staan vindt tussentijds plaats bij de begroting 2022 en de </w:t>
            </w:r>
            <w:proofErr w:type="spellStart"/>
            <w:r>
              <w:t>bestuursrapportage</w:t>
            </w:r>
            <w:proofErr w:type="spellEnd"/>
            <w:r>
              <w:t xml:space="preserve"> 2022. De </w:t>
            </w:r>
            <w:r>
              <w:t>eindevaluatie vindt plaats bij de jaarrekening 2022.</w:t>
            </w:r>
          </w:p>
        </w:tc>
      </w:tr>
    </w:tbl>
    <w:p w:rsidR="00F00F01" w:rsidRDefault="00F00F01">
      <w:pPr>
        <w:rPr>
          <w:rFonts w:eastAsia="Arial" w:cs="Arial"/>
          <w:color w:val="333333"/>
          <w:szCs w:val="21"/>
        </w:rPr>
      </w:pPr>
    </w:p>
    <w:p w:rsidR="00F00F01" w:rsidRDefault="00F00F01">
      <w:pPr>
        <w:rPr>
          <w:rFonts w:cs="Arial"/>
          <w:color w:val="333333"/>
          <w:szCs w:val="21"/>
        </w:rPr>
      </w:pP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ind w:left="57"/>
              <w:rPr>
                <w:rFonts w:cs="Arial"/>
                <w:szCs w:val="21"/>
              </w:rPr>
            </w:pPr>
            <w:r>
              <w:rPr>
                <w:rFonts w:cs="Arial"/>
                <w:szCs w:val="21"/>
              </w:rPr>
              <w:t>Burgemeester en wethouders van Berkelland,</w:t>
            </w:r>
          </w:p>
          <w:p w:rsidR="00F00F01" w:rsidRDefault="00797715">
            <w:pPr>
              <w:ind w:left="57"/>
              <w:rPr>
                <w:rFonts w:cs="Arial"/>
                <w:szCs w:val="21"/>
              </w:rPr>
            </w:pPr>
            <w:r>
              <w:rPr>
                <w:rFonts w:cs="Arial"/>
                <w:szCs w:val="21"/>
              </w:rPr>
              <w:t>de secretaris,</w:t>
            </w:r>
            <w:r>
              <w:rPr>
                <w:rFonts w:cs="Arial"/>
                <w:szCs w:val="21"/>
              </w:rPr>
              <w:tab/>
            </w:r>
            <w:r>
              <w:rPr>
                <w:rFonts w:cs="Arial"/>
                <w:szCs w:val="21"/>
              </w:rPr>
              <w:tab/>
              <w:t xml:space="preserve">de burgemeester, </w:t>
            </w:r>
          </w:p>
          <w:p w:rsidR="00F00F01" w:rsidRDefault="00F00F01">
            <w:pPr>
              <w:ind w:left="57"/>
              <w:rPr>
                <w:rFonts w:cs="Arial"/>
                <w:szCs w:val="21"/>
              </w:rPr>
            </w:pPr>
          </w:p>
          <w:p w:rsidR="00F00F01" w:rsidRDefault="00F00F01">
            <w:pPr>
              <w:ind w:left="57"/>
              <w:rPr>
                <w:rFonts w:cs="Arial"/>
                <w:szCs w:val="21"/>
              </w:rPr>
            </w:pPr>
          </w:p>
          <w:p w:rsidR="00F00F01" w:rsidRDefault="00797715">
            <w:pPr>
              <w:ind w:left="57"/>
            </w:pPr>
            <w:r>
              <w:rPr>
                <w:rFonts w:cs="Arial"/>
                <w:color w:val="333333"/>
                <w:szCs w:val="21"/>
              </w:rPr>
              <w:t xml:space="preserve">M.N.J. Broers.         </w:t>
            </w:r>
            <w:r>
              <w:rPr>
                <w:rFonts w:cs="Arial"/>
                <w:color w:val="333333"/>
                <w:szCs w:val="21"/>
              </w:rPr>
              <w:tab/>
              <w:t>drs. J.H.A. van Oostrum</w:t>
            </w:r>
            <w:r>
              <w:rPr>
                <w:rFonts w:cs="Arial"/>
                <w:color w:val="333333"/>
                <w:szCs w:val="21"/>
              </w:rPr>
              <w:t>.</w:t>
            </w:r>
          </w:p>
          <w:p w:rsidR="00F00F01" w:rsidRDefault="00F00F01">
            <w:pPr>
              <w:ind w:left="57"/>
              <w:rPr>
                <w:rFonts w:cs="Arial"/>
                <w:color w:val="333333"/>
                <w:szCs w:val="21"/>
              </w:rPr>
            </w:pPr>
          </w:p>
        </w:tc>
      </w:tr>
    </w:tbl>
    <w:p w:rsidR="00F00F01" w:rsidRDefault="00F00F01">
      <w:pPr>
        <w:rPr>
          <w:rFonts w:cs="Arial"/>
          <w:color w:val="333333"/>
          <w:szCs w:val="21"/>
        </w:rPr>
      </w:pPr>
    </w:p>
    <w:p w:rsidR="00F00F01" w:rsidRDefault="00F00F01">
      <w:pPr>
        <w:rPr>
          <w:rFonts w:cs="Arial"/>
          <w:b/>
          <w:bCs/>
          <w:color w:val="333333"/>
          <w:szCs w:val="21"/>
        </w:rPr>
      </w:pPr>
    </w:p>
    <w:p w:rsidR="00F00F01" w:rsidRDefault="00F00F01">
      <w:pPr>
        <w:rPr>
          <w:rFonts w:cs="Arial"/>
          <w:color w:val="333333"/>
          <w:szCs w:val="21"/>
        </w:rPr>
      </w:pPr>
    </w:p>
    <w:p w:rsidR="00F00F01" w:rsidRDefault="00797715">
      <w:pPr>
        <w:rPr>
          <w:rFonts w:cs="Arial"/>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13-07-2021</w:t>
            </w:r>
          </w:p>
          <w:p w:rsidR="00F00F01" w:rsidRDefault="00F00F01">
            <w:pPr>
              <w:ind w:left="57"/>
              <w:rPr>
                <w:rFonts w:cs="Arial"/>
                <w:szCs w:val="21"/>
              </w:rPr>
            </w:pPr>
          </w:p>
          <w:p w:rsidR="00F00F01" w:rsidRDefault="00797715">
            <w:pPr>
              <w:tabs>
                <w:tab w:val="left" w:pos="720"/>
                <w:tab w:val="left" w:pos="1440"/>
                <w:tab w:val="left" w:pos="2160"/>
                <w:tab w:val="left" w:pos="2880"/>
                <w:tab w:val="left" w:pos="3330"/>
              </w:tabs>
              <w:ind w:left="57"/>
              <w:rPr>
                <w:rFonts w:cs="Arial"/>
                <w:szCs w:val="21"/>
              </w:rPr>
            </w:pPr>
            <w:r>
              <w:rPr>
                <w:rFonts w:cs="Arial"/>
                <w:szCs w:val="21"/>
              </w:rPr>
              <w:tab/>
            </w:r>
          </w:p>
          <w:p w:rsidR="00F00F01" w:rsidRDefault="00F00F01">
            <w:pPr>
              <w:tabs>
                <w:tab w:val="left" w:pos="720"/>
                <w:tab w:val="left" w:pos="1440"/>
                <w:tab w:val="left" w:pos="2160"/>
                <w:tab w:val="left" w:pos="2880"/>
                <w:tab w:val="left" w:pos="3330"/>
              </w:tabs>
              <w:ind w:left="57"/>
              <w:rPr>
                <w:rFonts w:cs="Arial"/>
                <w:szCs w:val="21"/>
              </w:rPr>
            </w:pPr>
          </w:p>
          <w:p w:rsidR="00F00F01" w:rsidRDefault="00F00F01">
            <w:pPr>
              <w:tabs>
                <w:tab w:val="left" w:pos="720"/>
                <w:tab w:val="left" w:pos="1440"/>
                <w:tab w:val="left" w:pos="2160"/>
                <w:tab w:val="left" w:pos="2880"/>
                <w:tab w:val="left" w:pos="3330"/>
              </w:tabs>
              <w:ind w:left="57"/>
              <w:rPr>
                <w:rFonts w:cs="Arial"/>
                <w:szCs w:val="21"/>
              </w:rPr>
            </w:pPr>
          </w:p>
          <w:p w:rsidR="00F00F01" w:rsidRDefault="00F00F01">
            <w:pPr>
              <w:tabs>
                <w:tab w:val="left" w:pos="720"/>
                <w:tab w:val="left" w:pos="1440"/>
                <w:tab w:val="left" w:pos="2160"/>
                <w:tab w:val="left" w:pos="2880"/>
                <w:tab w:val="left" w:pos="3330"/>
              </w:tabs>
              <w:ind w:left="57"/>
              <w:rPr>
                <w:rFonts w:cs="Arial"/>
                <w:szCs w:val="21"/>
              </w:rPr>
            </w:pPr>
          </w:p>
          <w:p w:rsidR="00F00F01" w:rsidRDefault="00F00F01">
            <w:pPr>
              <w:tabs>
                <w:tab w:val="left" w:pos="720"/>
                <w:tab w:val="left" w:pos="1440"/>
                <w:tab w:val="left" w:pos="2160"/>
                <w:tab w:val="left" w:pos="2880"/>
                <w:tab w:val="left" w:pos="3330"/>
              </w:tabs>
              <w:ind w:left="57"/>
              <w:rPr>
                <w:rFonts w:cs="Arial"/>
                <w:szCs w:val="21"/>
              </w:rPr>
            </w:pPr>
          </w:p>
          <w:p w:rsidR="00F00F01" w:rsidRDefault="00797715">
            <w:pPr>
              <w:ind w:left="57"/>
              <w:outlineLvl w:val="0"/>
              <w:rPr>
                <w:rFonts w:cs="Arial"/>
                <w:szCs w:val="21"/>
              </w:rPr>
            </w:pPr>
            <w:r>
              <w:rPr>
                <w:rFonts w:cs="Arial"/>
                <w:szCs w:val="21"/>
              </w:rPr>
              <w:t>De raad van de gemeente Berkelland;</w:t>
            </w:r>
          </w:p>
          <w:p w:rsidR="00F00F01" w:rsidRDefault="00F00F01">
            <w:pPr>
              <w:ind w:left="57"/>
              <w:rPr>
                <w:rFonts w:cs="Arial"/>
                <w:szCs w:val="21"/>
              </w:rPr>
            </w:pPr>
          </w:p>
          <w:p w:rsidR="00F00F01" w:rsidRDefault="00797715">
            <w:pPr>
              <w:ind w:left="57"/>
            </w:pPr>
            <w:r>
              <w:rPr>
                <w:rFonts w:cs="Arial"/>
                <w:szCs w:val="21"/>
              </w:rPr>
              <w:t xml:space="preserve">gelezen het voorstel van burgemeester en wethouders van </w:t>
            </w:r>
            <w:r>
              <w:rPr>
                <w:rFonts w:cs="Arial"/>
                <w:color w:val="333333"/>
                <w:szCs w:val="21"/>
              </w:rPr>
              <w:t>15-06-2021</w:t>
            </w:r>
            <w:r>
              <w:rPr>
                <w:rFonts w:cs="Arial"/>
                <w:szCs w:val="21"/>
              </w:rPr>
              <w:t xml:space="preserve">; </w:t>
            </w:r>
          </w:p>
          <w:p w:rsidR="00F00F01" w:rsidRDefault="00F00F01">
            <w:pPr>
              <w:ind w:left="57"/>
              <w:rPr>
                <w:rFonts w:cs="Arial"/>
                <w:szCs w:val="21"/>
              </w:rPr>
            </w:pPr>
          </w:p>
          <w:p w:rsidR="00F00F01" w:rsidRDefault="00F00F01">
            <w:pPr>
              <w:ind w:left="57"/>
              <w:rPr>
                <w:rFonts w:cs="Arial"/>
                <w:szCs w:val="21"/>
              </w:rPr>
            </w:pPr>
          </w:p>
          <w:p w:rsidR="00F00F01" w:rsidRDefault="00797715">
            <w:pPr>
              <w:ind w:left="57"/>
              <w:jc w:val="center"/>
              <w:rPr>
                <w:rFonts w:cs="Arial"/>
                <w:szCs w:val="21"/>
              </w:rPr>
            </w:pPr>
            <w:r>
              <w:rPr>
                <w:rFonts w:cs="Arial"/>
                <w:szCs w:val="21"/>
              </w:rPr>
              <w:t xml:space="preserve">b e s l u i t : </w:t>
            </w:r>
          </w:p>
          <w:p w:rsidR="00F00F01" w:rsidRDefault="00F00F01">
            <w:pPr>
              <w:ind w:left="57"/>
              <w:rPr>
                <w:rFonts w:cs="Arial"/>
                <w:szCs w:val="21"/>
              </w:rPr>
            </w:pPr>
          </w:p>
          <w:p w:rsidR="00F00F01" w:rsidRDefault="00F00F01">
            <w:pPr>
              <w:ind w:left="57"/>
              <w:rPr>
                <w:rFonts w:cs="Arial"/>
                <w:szCs w:val="21"/>
              </w:rPr>
            </w:pPr>
          </w:p>
          <w:p w:rsidR="00F00F01" w:rsidRDefault="00F00F01">
            <w:pPr>
              <w:ind w:left="57"/>
              <w:rPr>
                <w:rFonts w:cs="Arial"/>
                <w:szCs w:val="21"/>
              </w:rPr>
            </w:pPr>
          </w:p>
          <w:p w:rsidR="00F00F01" w:rsidRDefault="00797715">
            <w:pPr>
              <w:pStyle w:val="Plattetekst"/>
              <w:numPr>
                <w:ilvl w:val="0"/>
                <w:numId w:val="4"/>
              </w:numPr>
              <w:tabs>
                <w:tab w:val="left" w:pos="0"/>
              </w:tabs>
              <w:spacing w:after="0"/>
              <w:ind w:left="633"/>
              <w:rPr>
                <w:rFonts w:cs="Arial"/>
                <w:szCs w:val="21"/>
              </w:rPr>
            </w:pPr>
            <w:r>
              <w:rPr>
                <w:rFonts w:cs="Arial"/>
                <w:szCs w:val="21"/>
              </w:rPr>
              <w:t>De perspectiefnota 2022 vaststellen.</w:t>
            </w:r>
          </w:p>
          <w:p w:rsidR="00F00F01" w:rsidRDefault="00797715">
            <w:pPr>
              <w:pStyle w:val="Plattetekst"/>
              <w:numPr>
                <w:ilvl w:val="0"/>
                <w:numId w:val="4"/>
              </w:numPr>
              <w:tabs>
                <w:tab w:val="left" w:pos="0"/>
              </w:tabs>
              <w:spacing w:after="0"/>
              <w:ind w:left="633"/>
              <w:rPr>
                <w:rFonts w:cs="Arial"/>
                <w:szCs w:val="21"/>
              </w:rPr>
            </w:pPr>
            <w:r>
              <w:rPr>
                <w:rFonts w:cs="Arial"/>
                <w:szCs w:val="21"/>
              </w:rPr>
              <w:t xml:space="preserve">Vanaf de begroting 2022 het </w:t>
            </w:r>
            <w:r>
              <w:rPr>
                <w:rFonts w:cs="Arial"/>
                <w:szCs w:val="21"/>
              </w:rPr>
              <w:t>programma ‘Financiën’ splitsen in het programma ‘Algemeen bestuur en bedrijfsvoering’ en het ‘Overzicht van algemene dekkingsmiddelen’.</w:t>
            </w:r>
          </w:p>
          <w:p w:rsidR="00F00F01" w:rsidRDefault="00797715">
            <w:pPr>
              <w:pStyle w:val="Plattetekst"/>
              <w:numPr>
                <w:ilvl w:val="0"/>
                <w:numId w:val="4"/>
              </w:numPr>
              <w:tabs>
                <w:tab w:val="left" w:pos="0"/>
              </w:tabs>
              <w:spacing w:after="0"/>
              <w:ind w:left="633"/>
              <w:rPr>
                <w:rFonts w:cs="Arial"/>
                <w:szCs w:val="21"/>
              </w:rPr>
            </w:pPr>
            <w:r>
              <w:rPr>
                <w:rFonts w:cs="Arial"/>
                <w:szCs w:val="21"/>
              </w:rPr>
              <w:t>Bij de begroting 2022 de incidentele wensen en investeringen dekken uit de algemene reserve.</w:t>
            </w:r>
          </w:p>
          <w:p w:rsidR="00F00F01" w:rsidRDefault="00797715">
            <w:pPr>
              <w:pStyle w:val="Plattetekst"/>
              <w:numPr>
                <w:ilvl w:val="0"/>
                <w:numId w:val="4"/>
              </w:numPr>
              <w:tabs>
                <w:tab w:val="left" w:pos="0"/>
              </w:tabs>
              <w:spacing w:after="0"/>
              <w:ind w:left="633"/>
              <w:rPr>
                <w:rFonts w:cs="Arial"/>
                <w:szCs w:val="21"/>
              </w:rPr>
            </w:pPr>
            <w:bookmarkStart w:id="0" w:name="_GoBack"/>
            <w:bookmarkEnd w:id="0"/>
            <w:r>
              <w:rPr>
                <w:rFonts w:cs="Arial"/>
                <w:szCs w:val="21"/>
              </w:rPr>
              <w:t xml:space="preserve">De WOZ waarden van objecten die na 1 januari 2021 gereed zijn </w:t>
            </w:r>
            <w:r>
              <w:rPr>
                <w:rFonts w:cs="Arial"/>
                <w:szCs w:val="21"/>
              </w:rPr>
              <w:t>gekomen zien als areaal uitbreiding.</w:t>
            </w:r>
          </w:p>
          <w:p w:rsidR="00F00F01" w:rsidRDefault="00F00F01">
            <w:pPr>
              <w:ind w:left="57"/>
              <w:rPr>
                <w:rFonts w:cs="Arial"/>
                <w:szCs w:val="21"/>
              </w:rPr>
            </w:pPr>
          </w:p>
          <w:p w:rsidR="00F00F01" w:rsidRDefault="00F00F01">
            <w:pPr>
              <w:ind w:left="57"/>
              <w:jc w:val="center"/>
              <w:rPr>
                <w:rFonts w:cs="Arial"/>
                <w:szCs w:val="21"/>
              </w:rPr>
            </w:pPr>
          </w:p>
          <w:p w:rsidR="00F00F01" w:rsidRDefault="00F00F01">
            <w:pPr>
              <w:ind w:left="57"/>
              <w:rPr>
                <w:rFonts w:cs="Arial"/>
                <w:szCs w:val="21"/>
              </w:rPr>
            </w:pPr>
          </w:p>
          <w:p w:rsidR="00F00F01" w:rsidRDefault="00797715">
            <w:pPr>
              <w:ind w:left="57"/>
              <w:outlineLvl w:val="0"/>
            </w:pPr>
            <w:r>
              <w:rPr>
                <w:rFonts w:cs="Arial"/>
                <w:szCs w:val="21"/>
              </w:rPr>
              <w:t xml:space="preserve">Aldus vastgesteld in de raadsvergadering van </w:t>
            </w:r>
            <w:r>
              <w:rPr>
                <w:rFonts w:cs="Arial"/>
                <w:color w:val="333333"/>
                <w:szCs w:val="21"/>
              </w:rPr>
              <w:t>13-07-2021</w:t>
            </w:r>
            <w:r>
              <w:rPr>
                <w:szCs w:val="21"/>
              </w:rPr>
              <w:br/>
            </w:r>
          </w:p>
          <w:p w:rsidR="00F00F01" w:rsidRDefault="00F00F01">
            <w:pPr>
              <w:ind w:left="57"/>
              <w:outlineLvl w:val="0"/>
              <w:rPr>
                <w:rFonts w:cs="Arial"/>
                <w:szCs w:val="21"/>
              </w:rPr>
            </w:pPr>
          </w:p>
          <w:p w:rsidR="00F00F01" w:rsidRDefault="00797715">
            <w:pPr>
              <w:ind w:left="57"/>
              <w:rPr>
                <w:rFonts w:cs="Arial"/>
                <w:szCs w:val="21"/>
              </w:rPr>
            </w:pPr>
            <w:r>
              <w:rPr>
                <w:rFonts w:cs="Arial"/>
                <w:szCs w:val="21"/>
              </w:rPr>
              <w:t>de griffier,</w:t>
            </w:r>
            <w:r>
              <w:rPr>
                <w:rFonts w:cs="Arial"/>
                <w:szCs w:val="21"/>
              </w:rPr>
              <w:tab/>
            </w:r>
            <w:r>
              <w:rPr>
                <w:rFonts w:cs="Arial"/>
                <w:szCs w:val="21"/>
              </w:rPr>
              <w:tab/>
              <w:t xml:space="preserve">               de voorzitter, </w:t>
            </w:r>
          </w:p>
          <w:p w:rsidR="00F00F01" w:rsidRDefault="00F00F01">
            <w:pPr>
              <w:ind w:left="57"/>
              <w:rPr>
                <w:rFonts w:cs="Arial"/>
                <w:b/>
                <w:color w:val="333333"/>
                <w:szCs w:val="21"/>
              </w:rPr>
            </w:pPr>
          </w:p>
          <w:p w:rsidR="00F00F01" w:rsidRDefault="00F00F01">
            <w:pPr>
              <w:rPr>
                <w:rFonts w:cs="Arial"/>
                <w:b/>
                <w:color w:val="333333"/>
                <w:szCs w:val="21"/>
              </w:rPr>
            </w:pPr>
          </w:p>
        </w:tc>
      </w:tr>
    </w:tbl>
    <w:p w:rsidR="00F00F01" w:rsidRDefault="00F00F01">
      <w:pPr>
        <w:rPr>
          <w:rFonts w:cs="Arial"/>
          <w:szCs w:val="21"/>
        </w:rPr>
      </w:pPr>
    </w:p>
    <w:p w:rsidR="00F00F01" w:rsidRDefault="00797715">
      <w:pPr>
        <w:rPr>
          <w:rFonts w:cs="Arial"/>
          <w:b/>
          <w:color w:val="333333"/>
          <w:szCs w:val="21"/>
        </w:rPr>
      </w:pPr>
      <w:r>
        <w:br w:type="page"/>
      </w:r>
    </w:p>
    <w:tbl>
      <w:tblPr>
        <w:tblW w:w="9071" w:type="dxa"/>
        <w:tblCellMar>
          <w:left w:w="0" w:type="dxa"/>
          <w:right w:w="0" w:type="dxa"/>
        </w:tblCellMar>
        <w:tblLook w:val="04A0" w:firstRow="1" w:lastRow="0" w:firstColumn="1" w:lastColumn="0" w:noHBand="0" w:noVBand="1"/>
      </w:tblPr>
      <w:tblGrid>
        <w:gridCol w:w="9071"/>
      </w:tblGrid>
      <w:tr w:rsidR="00F00F01">
        <w:tc>
          <w:tcPr>
            <w:tcW w:w="9071" w:type="dxa"/>
            <w:shd w:val="clear" w:color="auto" w:fill="auto"/>
          </w:tcPr>
          <w:p w:rsidR="00F00F01" w:rsidRDefault="00797715">
            <w:pPr>
              <w:pageBreakBefore/>
              <w:ind w:left="57"/>
            </w:pPr>
            <w:r>
              <w:rPr>
                <w:rFonts w:cs="Arial"/>
                <w:b/>
                <w:szCs w:val="21"/>
              </w:rPr>
              <w:lastRenderedPageBreak/>
              <w:t>Toelichting raadsvoorstel</w:t>
            </w:r>
          </w:p>
          <w:p w:rsidR="00F00F01" w:rsidRDefault="00F00F01">
            <w:pPr>
              <w:ind w:left="57"/>
              <w:rPr>
                <w:rFonts w:cs="Arial"/>
                <w:b/>
                <w:szCs w:val="21"/>
              </w:rPr>
            </w:pPr>
          </w:p>
          <w:p w:rsidR="00F00F01" w:rsidRDefault="00797715">
            <w:pPr>
              <w:ind w:left="57"/>
            </w:pPr>
            <w:r>
              <w:rPr>
                <w:rFonts w:cs="Arial"/>
                <w:b/>
                <w:szCs w:val="21"/>
              </w:rPr>
              <w:t>Onderwerp</w:t>
            </w:r>
            <w:r>
              <w:rPr>
                <w:rFonts w:cs="Arial"/>
                <w:szCs w:val="21"/>
              </w:rPr>
              <w:tab/>
              <w:t>:</w:t>
            </w:r>
            <w:r>
              <w:rPr>
                <w:rFonts w:cs="Arial"/>
                <w:szCs w:val="21"/>
              </w:rPr>
              <w:tab/>
            </w:r>
            <w:r>
              <w:rPr>
                <w:rFonts w:cs="Arial"/>
                <w:color w:val="333333"/>
                <w:szCs w:val="21"/>
              </w:rPr>
              <w:t>Perspectiefnota 2022</w:t>
            </w:r>
          </w:p>
          <w:p w:rsidR="00F00F01" w:rsidRDefault="00F00F01">
            <w:pPr>
              <w:ind w:left="57"/>
              <w:rPr>
                <w:rFonts w:cs="Arial"/>
                <w:szCs w:val="21"/>
              </w:rPr>
            </w:pPr>
          </w:p>
          <w:p w:rsidR="00F00F01" w:rsidRDefault="00F00F01">
            <w:pPr>
              <w:ind w:left="57"/>
              <w:rPr>
                <w:rFonts w:cs="Arial"/>
                <w:color w:val="333333"/>
                <w:szCs w:val="21"/>
              </w:rPr>
            </w:pPr>
          </w:p>
        </w:tc>
      </w:tr>
    </w:tbl>
    <w:p w:rsidR="00F00F01" w:rsidRDefault="00F00F01">
      <w:pPr>
        <w:rPr>
          <w:rFonts w:cs="Arial"/>
          <w:b/>
          <w:szCs w:val="21"/>
        </w:rPr>
      </w:pPr>
    </w:p>
    <w:p w:rsidR="00F00F01" w:rsidRDefault="00F00F01">
      <w:pPr>
        <w:rPr>
          <w:rFonts w:cs="Arial"/>
          <w:b/>
          <w:szCs w:val="21"/>
        </w:rPr>
      </w:pPr>
    </w:p>
    <w:p w:rsidR="00F00F01" w:rsidRDefault="00F00F01">
      <w:pPr>
        <w:rPr>
          <w:szCs w:val="21"/>
        </w:rPr>
      </w:pPr>
    </w:p>
    <w:sectPr w:rsidR="00F00F01">
      <w:headerReference w:type="default" r:id="rId8"/>
      <w:footerReference w:type="default" r:id="rId9"/>
      <w:headerReference w:type="first" r:id="rId10"/>
      <w:footerReference w:type="first" r:id="rId11"/>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97715">
      <w:r>
        <w:separator/>
      </w:r>
    </w:p>
  </w:endnote>
  <w:endnote w:type="continuationSeparator" w:id="0">
    <w:p w:rsidR="00000000" w:rsidRDefault="0079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1"/>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01" w:rsidRDefault="00F00F01">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Ind w:w="-108" w:type="dxa"/>
      <w:tblLook w:val="04A0" w:firstRow="1" w:lastRow="0" w:firstColumn="1" w:lastColumn="0" w:noHBand="0" w:noVBand="1"/>
    </w:tblPr>
    <w:tblGrid>
      <w:gridCol w:w="4370"/>
      <w:gridCol w:w="5380"/>
    </w:tblGrid>
    <w:tr w:rsidR="00F00F01">
      <w:tc>
        <w:tcPr>
          <w:tcW w:w="437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 xml:space="preserve">In te vullen door </w:t>
          </w:r>
          <w:r>
            <w:rPr>
              <w:rFonts w:cs="Arial"/>
              <w:sz w:val="16"/>
              <w:szCs w:val="16"/>
            </w:rPr>
            <w:t>Griffie:</w:t>
          </w:r>
        </w:p>
      </w:tc>
      <w:tc>
        <w:tcPr>
          <w:tcW w:w="5380" w:type="dxa"/>
          <w:shd w:val="clear" w:color="auto" w:fill="auto"/>
        </w:tcPr>
        <w:p w:rsidR="00F00F01" w:rsidRDefault="00F00F01">
          <w:pPr>
            <w:pStyle w:val="Voettekst"/>
            <w:tabs>
              <w:tab w:val="center" w:pos="4536"/>
              <w:tab w:val="right" w:pos="9072"/>
            </w:tabs>
            <w:rPr>
              <w:rFonts w:cs="Arial"/>
              <w:sz w:val="16"/>
              <w:szCs w:val="16"/>
              <w:u w:val="single"/>
            </w:rPr>
          </w:pPr>
        </w:p>
      </w:tc>
    </w:tr>
    <w:tr w:rsidR="00F00F01">
      <w:tc>
        <w:tcPr>
          <w:tcW w:w="4370" w:type="dxa"/>
          <w:shd w:val="clear" w:color="auto" w:fill="auto"/>
        </w:tcPr>
        <w:p w:rsidR="00F00F01" w:rsidRDefault="00F00F01">
          <w:pPr>
            <w:pStyle w:val="Voettekst"/>
            <w:tabs>
              <w:tab w:val="center" w:pos="4536"/>
              <w:tab w:val="right" w:pos="9072"/>
            </w:tabs>
            <w:rPr>
              <w:rFonts w:cs="Arial"/>
              <w:sz w:val="16"/>
              <w:szCs w:val="16"/>
            </w:rPr>
          </w:pPr>
        </w:p>
      </w:tc>
      <w:tc>
        <w:tcPr>
          <w:tcW w:w="5380" w:type="dxa"/>
          <w:shd w:val="clear" w:color="auto" w:fill="auto"/>
        </w:tcPr>
        <w:p w:rsidR="00F00F01" w:rsidRDefault="00F00F01">
          <w:pPr>
            <w:pStyle w:val="Voettekst"/>
            <w:tabs>
              <w:tab w:val="center" w:pos="4536"/>
              <w:tab w:val="right" w:pos="9072"/>
            </w:tabs>
            <w:rPr>
              <w:rFonts w:cs="Arial"/>
              <w:sz w:val="16"/>
              <w:szCs w:val="16"/>
            </w:rPr>
          </w:pPr>
        </w:p>
      </w:tc>
    </w:tr>
    <w:tr w:rsidR="00F00F01">
      <w:tc>
        <w:tcPr>
          <w:tcW w:w="4370" w:type="dxa"/>
          <w:shd w:val="clear" w:color="auto" w:fill="auto"/>
        </w:tcPr>
        <w:p w:rsidR="00F00F01" w:rsidRDefault="00797715">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shd w:val="clear" w:color="auto" w:fill="auto"/>
        </w:tcPr>
        <w:p w:rsidR="00F00F01" w:rsidRDefault="00797715">
          <w:pPr>
            <w:pStyle w:val="Voettekst"/>
            <w:tabs>
              <w:tab w:val="center" w:pos="4536"/>
              <w:tab w:val="right" w:pos="9072"/>
            </w:tabs>
            <w:rPr>
              <w:rFonts w:cs="Arial"/>
              <w:sz w:val="16"/>
              <w:szCs w:val="16"/>
              <w:u w:val="single"/>
            </w:rPr>
          </w:pPr>
          <w:r>
            <w:rPr>
              <w:rFonts w:cs="Arial"/>
              <w:sz w:val="16"/>
              <w:szCs w:val="16"/>
              <w:u w:val="single"/>
            </w:rPr>
            <w:t>Raadsvergadering</w:t>
          </w:r>
        </w:p>
      </w:tc>
    </w:tr>
    <w:tr w:rsidR="00F00F01">
      <w:tc>
        <w:tcPr>
          <w:tcW w:w="437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Afhandelingsvoorstel voor raad:</w:t>
          </w:r>
        </w:p>
      </w:tc>
      <w:tc>
        <w:tcPr>
          <w:tcW w:w="538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zonder hoofdelijke stemming</w:t>
          </w:r>
        </w:p>
      </w:tc>
    </w:tr>
    <w:tr w:rsidR="00F00F01">
      <w:tc>
        <w:tcPr>
          <w:tcW w:w="437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hamerstuk</w:t>
          </w:r>
        </w:p>
      </w:tc>
      <w:tc>
        <w:tcPr>
          <w:tcW w:w="538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met algemene stemmen</w:t>
          </w:r>
        </w:p>
      </w:tc>
    </w:tr>
    <w:tr w:rsidR="00F00F01">
      <w:tc>
        <w:tcPr>
          <w:tcW w:w="437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bespreekstuk</w:t>
          </w:r>
        </w:p>
      </w:tc>
      <w:tc>
        <w:tcPr>
          <w:tcW w:w="538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stemmen voor,          stemmen tegen</w:t>
          </w:r>
        </w:p>
      </w:tc>
    </w:tr>
    <w:tr w:rsidR="00F00F01">
      <w:tc>
        <w:tcPr>
          <w:tcW w:w="437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anders, nl</w:t>
          </w:r>
        </w:p>
      </w:tc>
      <w:tc>
        <w:tcPr>
          <w:tcW w:w="538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0 aangenomen</w:t>
          </w:r>
        </w:p>
      </w:tc>
    </w:tr>
    <w:tr w:rsidR="00F00F01">
      <w:tc>
        <w:tcPr>
          <w:tcW w:w="4370" w:type="dxa"/>
          <w:shd w:val="clear" w:color="auto" w:fill="auto"/>
        </w:tcPr>
        <w:p w:rsidR="00F00F01" w:rsidRDefault="00F00F01">
          <w:pPr>
            <w:pStyle w:val="Voettekst"/>
            <w:tabs>
              <w:tab w:val="center" w:pos="4536"/>
              <w:tab w:val="right" w:pos="9072"/>
            </w:tabs>
          </w:pPr>
        </w:p>
      </w:tc>
      <w:tc>
        <w:tcPr>
          <w:tcW w:w="5380" w:type="dxa"/>
          <w:shd w:val="clear" w:color="auto" w:fill="auto"/>
        </w:tcPr>
        <w:p w:rsidR="00F00F01" w:rsidRDefault="00797715">
          <w:pPr>
            <w:pStyle w:val="Voettekst"/>
            <w:tabs>
              <w:tab w:val="center" w:pos="4536"/>
              <w:tab w:val="right" w:pos="9072"/>
            </w:tabs>
            <w:rPr>
              <w:rFonts w:cs="Arial"/>
              <w:sz w:val="16"/>
              <w:szCs w:val="16"/>
            </w:rPr>
          </w:pPr>
          <w:r>
            <w:rPr>
              <w:rFonts w:cs="Arial"/>
              <w:sz w:val="16"/>
              <w:szCs w:val="16"/>
            </w:rPr>
            <w:t xml:space="preserve">0 </w:t>
          </w:r>
          <w:r>
            <w:rPr>
              <w:rFonts w:cs="Arial"/>
              <w:sz w:val="16"/>
              <w:szCs w:val="16"/>
            </w:rPr>
            <w:t>verworpen</w:t>
          </w:r>
        </w:p>
      </w:tc>
    </w:tr>
  </w:tbl>
  <w:p w:rsidR="00F00F01" w:rsidRDefault="00F00F01">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97715">
      <w:r>
        <w:separator/>
      </w:r>
    </w:p>
  </w:footnote>
  <w:footnote w:type="continuationSeparator" w:id="0">
    <w:p w:rsidR="00000000" w:rsidRDefault="0079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01" w:rsidRDefault="00F00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01" w:rsidRDefault="00F00F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857"/>
    <w:multiLevelType w:val="multilevel"/>
    <w:tmpl w:val="DD1E513A"/>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8E5FB4"/>
    <w:multiLevelType w:val="multilevel"/>
    <w:tmpl w:val="75D63054"/>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3B777B"/>
    <w:multiLevelType w:val="multilevel"/>
    <w:tmpl w:val="06181B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33B0D25"/>
    <w:multiLevelType w:val="multilevel"/>
    <w:tmpl w:val="FC26E168"/>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0F01"/>
    <w:rsid w:val="000D6635"/>
    <w:rsid w:val="005B15F1"/>
    <w:rsid w:val="00797715"/>
    <w:rsid w:val="007D0052"/>
    <w:rsid w:val="00C45571"/>
    <w:rsid w:val="00CB7192"/>
    <w:rsid w:val="00F00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FB56"/>
  <w15:docId w15:val="{528E1DCE-C92A-491B-82D6-C1704142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basedOn w:val="Standaardalinea-lettertype"/>
    <w:qFormat/>
    <w:rPr>
      <w:color w:val="0563C1"/>
      <w:u w:val="single"/>
    </w:rPr>
  </w:style>
  <w:style w:type="character" w:styleId="Onopgelostemelding">
    <w:name w:val="Unresolved Mention"/>
    <w:basedOn w:val="Standaardalinea-lettertype"/>
    <w:qFormat/>
    <w:rPr>
      <w:color w:val="605E5C"/>
      <w:highlight w:val="lightGray"/>
    </w:rPr>
  </w:style>
  <w:style w:type="character" w:customStyle="1" w:styleId="InternetLink">
    <w:name w:val="Internet Link"/>
    <w:rPr>
      <w:color w:val="000080"/>
      <w:u w:val="single"/>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customStyle="1" w:styleId="VisitedInternetLink">
    <w:name w:val="Visited Internet Link"/>
    <w:rPr>
      <w:color w:val="800000"/>
      <w:u w:val="single"/>
      <w:lang/>
    </w:rPr>
  </w:style>
  <w:style w:type="character" w:customStyle="1" w:styleId="Numbering20Symbols">
    <w:name w:val="Numbering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7C87C530.dotm</Template>
  <TotalTime>6</TotalTime>
  <Pages>4</Pages>
  <Words>752</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Kosters, R.T.G. (Roland)</dc:creator>
  <cp:lastModifiedBy>Kosters, R.T.G. (Roland)</cp:lastModifiedBy>
  <cp:revision>5</cp:revision>
  <dcterms:created xsi:type="dcterms:W3CDTF">2021-06-15T11:17:00Z</dcterms:created>
  <dcterms:modified xsi:type="dcterms:W3CDTF">2021-06-15T12:48:00Z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