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C1" w:rsidRPr="001A5300" w:rsidRDefault="00FA1AC1" w:rsidP="00FA1AC1">
      <w:pPr>
        <w:spacing w:line="288" w:lineRule="auto"/>
        <w:rPr>
          <w:rFonts w:cs="Arial"/>
        </w:rPr>
      </w:pPr>
      <w:r w:rsidRPr="001A5300">
        <w:rPr>
          <w:rFonts w:cs="Arial"/>
        </w:rPr>
        <w:t xml:space="preserve">De </w:t>
      </w:r>
      <w:r w:rsidR="003C6786">
        <w:rPr>
          <w:rFonts w:cs="Arial"/>
        </w:rPr>
        <w:t xml:space="preserve">uitvoering van de </w:t>
      </w:r>
      <w:r w:rsidRPr="001A5300">
        <w:rPr>
          <w:rFonts w:cs="Arial"/>
        </w:rPr>
        <w:t xml:space="preserve">organisatievisie 2020 en het Coalitieakkoord 2014 – 2018 “Veranderende samenleving, vernieuwd bestuur”  leidden ertoe dat een vertrekregeling werd ingevoerd. </w:t>
      </w:r>
    </w:p>
    <w:p w:rsidR="00FA1AC1" w:rsidRPr="001A5300" w:rsidRDefault="00FA1AC1" w:rsidP="00FA1AC1">
      <w:pPr>
        <w:spacing w:line="288" w:lineRule="auto"/>
        <w:rPr>
          <w:rFonts w:cs="Arial"/>
        </w:rPr>
      </w:pPr>
    </w:p>
    <w:p w:rsidR="00FA1AC1" w:rsidRDefault="00FA1AC1" w:rsidP="00FA1AC1">
      <w:pPr>
        <w:spacing w:line="288" w:lineRule="auto"/>
        <w:rPr>
          <w:rFonts w:cs="Arial"/>
        </w:rPr>
      </w:pPr>
      <w:r>
        <w:rPr>
          <w:rFonts w:cs="Arial"/>
        </w:rPr>
        <w:t>E</w:t>
      </w:r>
      <w:r w:rsidRPr="001A5300">
        <w:rPr>
          <w:rFonts w:cs="Arial"/>
        </w:rPr>
        <w:t>en tweetal vertrekregelingen</w:t>
      </w:r>
      <w:r>
        <w:rPr>
          <w:rFonts w:cs="Arial"/>
        </w:rPr>
        <w:t xml:space="preserve"> zijn</w:t>
      </w:r>
      <w:r w:rsidRPr="001A5300">
        <w:rPr>
          <w:rFonts w:cs="Arial"/>
        </w:rPr>
        <w:t xml:space="preserve"> vastgesteld, te weten de “Vertrekregeling (stimuleringsregeling) gemeente Berkelland” en de “Regeling faciliteren flexibiliteit en ontwikkeling”.</w:t>
      </w:r>
      <w:r>
        <w:rPr>
          <w:rFonts w:cs="Arial"/>
        </w:rPr>
        <w:t xml:space="preserve"> Voor beide regelingen eindigt de looptijd op </w:t>
      </w:r>
      <w:r w:rsidR="006F568A">
        <w:rPr>
          <w:rFonts w:cs="Arial"/>
        </w:rPr>
        <w:t>3</w:t>
      </w:r>
      <w:r>
        <w:rPr>
          <w:rFonts w:cs="Arial"/>
        </w:rPr>
        <w:t xml:space="preserve">1 </w:t>
      </w:r>
      <w:r w:rsidR="006F568A">
        <w:rPr>
          <w:rFonts w:cs="Arial"/>
        </w:rPr>
        <w:t>december</w:t>
      </w:r>
      <w:r>
        <w:rPr>
          <w:rFonts w:cs="Arial"/>
        </w:rPr>
        <w:t xml:space="preserve"> 201</w:t>
      </w:r>
      <w:r w:rsidR="006F568A">
        <w:rPr>
          <w:rFonts w:cs="Arial"/>
        </w:rPr>
        <w:t>8</w:t>
      </w:r>
      <w:r>
        <w:rPr>
          <w:rFonts w:cs="Arial"/>
        </w:rPr>
        <w:t>.</w:t>
      </w:r>
    </w:p>
    <w:p w:rsidR="000E6C5C" w:rsidRDefault="000E6C5C" w:rsidP="000E6C5C">
      <w:pPr>
        <w:spacing w:line="288" w:lineRule="auto"/>
        <w:rPr>
          <w:rFonts w:cs="Arial"/>
        </w:rPr>
      </w:pPr>
    </w:p>
    <w:p w:rsidR="00450C19" w:rsidRDefault="00450C19" w:rsidP="00450C19">
      <w:pPr>
        <w:spacing w:line="288" w:lineRule="auto"/>
        <w:rPr>
          <w:rFonts w:cs="Arial"/>
          <w:bCs/>
        </w:rPr>
      </w:pPr>
      <w:r w:rsidRPr="001A5300">
        <w:rPr>
          <w:rFonts w:cs="Arial"/>
          <w:bCs/>
        </w:rPr>
        <w:t xml:space="preserve">De vertrekregelingen </w:t>
      </w:r>
      <w:r w:rsidR="006F568A">
        <w:rPr>
          <w:rFonts w:cs="Arial"/>
          <w:bCs/>
        </w:rPr>
        <w:t xml:space="preserve">dragen ertoe bij dat </w:t>
      </w:r>
      <w:r w:rsidRPr="001A5300">
        <w:rPr>
          <w:rFonts w:cs="Arial"/>
          <w:bCs/>
        </w:rPr>
        <w:t>de organisatie slanker, daad</w:t>
      </w:r>
      <w:r w:rsidR="006F568A">
        <w:rPr>
          <w:rFonts w:cs="Arial"/>
          <w:bCs/>
        </w:rPr>
        <w:t>krachtiger en flexibeler wordt</w:t>
      </w:r>
      <w:r w:rsidRPr="001A5300">
        <w:rPr>
          <w:rFonts w:cs="Arial"/>
          <w:bCs/>
        </w:rPr>
        <w:t>. De</w:t>
      </w:r>
      <w:r w:rsidR="006F568A">
        <w:rPr>
          <w:rFonts w:cs="Arial"/>
          <w:bCs/>
        </w:rPr>
        <w:t xml:space="preserve"> </w:t>
      </w:r>
      <w:bookmarkStart w:id="0" w:name="_GoBack"/>
      <w:bookmarkEnd w:id="0"/>
      <w:r>
        <w:rPr>
          <w:rFonts w:cs="Arial"/>
          <w:bCs/>
        </w:rPr>
        <w:t>gemiddelde leeftijd</w:t>
      </w:r>
      <w:r w:rsidR="007518C1">
        <w:rPr>
          <w:rFonts w:cs="Arial"/>
          <w:bCs/>
        </w:rPr>
        <w:t xml:space="preserve"> is</w:t>
      </w:r>
      <w:r>
        <w:rPr>
          <w:rFonts w:cs="Arial"/>
          <w:bCs/>
        </w:rPr>
        <w:t xml:space="preserve"> gedaald en </w:t>
      </w:r>
      <w:r w:rsidR="003C6786">
        <w:rPr>
          <w:rFonts w:cs="Arial"/>
          <w:bCs/>
        </w:rPr>
        <w:t>op basis van deze algemene regelingen hebben wij als werkgever zorgvuldig kunnen opereren.</w:t>
      </w:r>
    </w:p>
    <w:p w:rsidR="00450C19" w:rsidRPr="001A5300" w:rsidRDefault="00450C19" w:rsidP="000E6C5C">
      <w:pPr>
        <w:spacing w:line="288" w:lineRule="auto"/>
        <w:rPr>
          <w:rFonts w:cs="Arial"/>
        </w:rPr>
      </w:pPr>
    </w:p>
    <w:p w:rsidR="000E6C5C" w:rsidRDefault="00FA1AC1" w:rsidP="000E6C5C">
      <w:pPr>
        <w:spacing w:line="288" w:lineRule="auto"/>
        <w:rPr>
          <w:rFonts w:cs="Arial"/>
          <w:bCs/>
        </w:rPr>
      </w:pPr>
      <w:r>
        <w:rPr>
          <w:rFonts w:cs="Arial"/>
        </w:rPr>
        <w:t xml:space="preserve">Ten aanzien van de vertrekregeling is </w:t>
      </w:r>
      <w:r w:rsidRPr="001A5300">
        <w:rPr>
          <w:rFonts w:cs="Arial"/>
        </w:rPr>
        <w:t xml:space="preserve">sprake van een zogenaamde </w:t>
      </w:r>
      <w:r>
        <w:rPr>
          <w:rFonts w:cs="Arial"/>
        </w:rPr>
        <w:t>‘</w:t>
      </w:r>
      <w:r w:rsidRPr="001A5300">
        <w:rPr>
          <w:rFonts w:cs="Arial"/>
        </w:rPr>
        <w:t>open eind regeling</w:t>
      </w:r>
      <w:r>
        <w:rPr>
          <w:rFonts w:cs="Arial"/>
        </w:rPr>
        <w:t>’</w:t>
      </w:r>
      <w:r w:rsidRPr="001A5300">
        <w:rPr>
          <w:rFonts w:cs="Arial"/>
        </w:rPr>
        <w:t xml:space="preserve">. </w:t>
      </w:r>
      <w:r>
        <w:rPr>
          <w:rFonts w:cs="Arial"/>
        </w:rPr>
        <w:t xml:space="preserve">Daardoor bestaat de mogelijkheid dat het beschikbare budget </w:t>
      </w:r>
      <w:r w:rsidR="007518C1">
        <w:rPr>
          <w:rFonts w:cs="Arial"/>
        </w:rPr>
        <w:t>overschreden wordt</w:t>
      </w:r>
      <w:r w:rsidRPr="001A5300">
        <w:rPr>
          <w:rFonts w:cs="Arial"/>
        </w:rPr>
        <w:t>.</w:t>
      </w:r>
      <w:r>
        <w:rPr>
          <w:rFonts w:cs="Arial"/>
        </w:rPr>
        <w:t xml:space="preserve"> </w:t>
      </w:r>
      <w:r w:rsidR="000E6C5C" w:rsidRPr="001A5300">
        <w:rPr>
          <w:rFonts w:cs="Arial"/>
          <w:bCs/>
        </w:rPr>
        <w:t>Aanvankelijk is bedacht dat de kosten v</w:t>
      </w:r>
      <w:r w:rsidR="005A3FB1">
        <w:rPr>
          <w:rFonts w:cs="Arial"/>
          <w:bCs/>
        </w:rPr>
        <w:t>an</w:t>
      </w:r>
      <w:r w:rsidR="000E6C5C" w:rsidRPr="001A5300">
        <w:rPr>
          <w:rFonts w:cs="Arial"/>
          <w:bCs/>
        </w:rPr>
        <w:t xml:space="preserve"> de vertrekregeling </w:t>
      </w:r>
      <w:r w:rsidR="0020616C">
        <w:rPr>
          <w:rFonts w:cs="Arial"/>
          <w:bCs/>
        </w:rPr>
        <w:t>gedekt</w:t>
      </w:r>
      <w:r w:rsidR="0020616C" w:rsidRPr="001A5300">
        <w:rPr>
          <w:rFonts w:cs="Arial"/>
          <w:bCs/>
        </w:rPr>
        <w:t xml:space="preserve"> </w:t>
      </w:r>
      <w:r w:rsidR="000E6C5C" w:rsidRPr="001A5300">
        <w:rPr>
          <w:rFonts w:cs="Arial"/>
          <w:bCs/>
        </w:rPr>
        <w:t xml:space="preserve">zouden worden </w:t>
      </w:r>
      <w:r w:rsidR="0020616C">
        <w:rPr>
          <w:rFonts w:cs="Arial"/>
          <w:bCs/>
        </w:rPr>
        <w:t xml:space="preserve">uit </w:t>
      </w:r>
      <w:r w:rsidR="000E6C5C" w:rsidRPr="001A5300">
        <w:rPr>
          <w:rFonts w:cs="Arial"/>
          <w:bCs/>
        </w:rPr>
        <w:t xml:space="preserve">de </w:t>
      </w:r>
      <w:proofErr w:type="spellStart"/>
      <w:r w:rsidR="000E6C5C" w:rsidRPr="001A5300">
        <w:rPr>
          <w:rFonts w:cs="Arial"/>
          <w:bCs/>
        </w:rPr>
        <w:t>onderuitputting</w:t>
      </w:r>
      <w:proofErr w:type="spellEnd"/>
      <w:r w:rsidR="003C6786">
        <w:rPr>
          <w:rFonts w:cs="Arial"/>
          <w:bCs/>
        </w:rPr>
        <w:t>. Voor de jaren 2015 tot en met 2017 is dat ook het geval geweest</w:t>
      </w:r>
      <w:r w:rsidR="000E6C5C" w:rsidRPr="003C6786">
        <w:rPr>
          <w:rFonts w:cs="Arial"/>
          <w:bCs/>
          <w:color w:val="000000" w:themeColor="text1"/>
        </w:rPr>
        <w:t xml:space="preserve">. </w:t>
      </w:r>
      <w:r w:rsidR="000E6C5C" w:rsidRPr="009B569D">
        <w:rPr>
          <w:rFonts w:cs="Arial"/>
          <w:bCs/>
        </w:rPr>
        <w:t xml:space="preserve">De </w:t>
      </w:r>
      <w:proofErr w:type="spellStart"/>
      <w:r w:rsidR="000E6C5C" w:rsidRPr="009B569D">
        <w:rPr>
          <w:rFonts w:cs="Arial"/>
          <w:bCs/>
        </w:rPr>
        <w:t>onderuitputting</w:t>
      </w:r>
      <w:proofErr w:type="spellEnd"/>
      <w:r w:rsidR="000E6C5C" w:rsidRPr="009B569D">
        <w:rPr>
          <w:rFonts w:cs="Arial"/>
          <w:bCs/>
        </w:rPr>
        <w:t xml:space="preserve"> is met ingang van 2018 echter niet meer aanwezig vanwege de noodzakelijke uitbreiding van de formatie conform de door de raad </w:t>
      </w:r>
      <w:r w:rsidR="00F77351" w:rsidRPr="009B569D">
        <w:rPr>
          <w:rFonts w:cs="Arial"/>
          <w:bCs/>
        </w:rPr>
        <w:t>herijkte</w:t>
      </w:r>
      <w:r w:rsidR="000E6C5C" w:rsidRPr="009B569D">
        <w:rPr>
          <w:rFonts w:cs="Arial"/>
          <w:bCs/>
        </w:rPr>
        <w:t xml:space="preserve"> omvang.</w:t>
      </w:r>
      <w:r w:rsidR="000E6C5C">
        <w:rPr>
          <w:rFonts w:cs="Arial"/>
          <w:bCs/>
        </w:rPr>
        <w:t xml:space="preserve"> Daarbij liep de</w:t>
      </w:r>
      <w:r w:rsidR="000E6C5C" w:rsidRPr="001A5300">
        <w:rPr>
          <w:rFonts w:cs="Arial"/>
          <w:bCs/>
        </w:rPr>
        <w:t xml:space="preserve"> vertrekregeling door. Nu dient dus een andere dekking gevonden te worden</w:t>
      </w:r>
      <w:r w:rsidR="005A3FB1">
        <w:rPr>
          <w:rFonts w:cs="Arial"/>
          <w:bCs/>
        </w:rPr>
        <w:t xml:space="preserve"> voor de kosten van de vertrekregeling</w:t>
      </w:r>
      <w:r w:rsidR="000E6C5C" w:rsidRPr="001A5300">
        <w:rPr>
          <w:rFonts w:cs="Arial"/>
          <w:bCs/>
        </w:rPr>
        <w:t xml:space="preserve">. </w:t>
      </w:r>
    </w:p>
    <w:p w:rsidR="00674AD4" w:rsidRPr="001A5300" w:rsidRDefault="00674AD4" w:rsidP="000E6C5C">
      <w:pPr>
        <w:spacing w:line="288" w:lineRule="auto"/>
        <w:rPr>
          <w:rFonts w:cs="Arial"/>
          <w:bCs/>
        </w:rPr>
      </w:pPr>
    </w:p>
    <w:p w:rsidR="00674AD4" w:rsidRDefault="00674AD4" w:rsidP="00674AD4">
      <w:pPr>
        <w:spacing w:line="288" w:lineRule="auto"/>
        <w:rPr>
          <w:rFonts w:cs="Arial"/>
          <w:bCs/>
        </w:rPr>
      </w:pPr>
      <w:r w:rsidRPr="001A5300">
        <w:rPr>
          <w:rFonts w:cs="Arial"/>
        </w:rPr>
        <w:t xml:space="preserve">De totale ingeschatte kosten van de vertrekregeling zijn </w:t>
      </w:r>
      <w:r>
        <w:rPr>
          <w:rFonts w:cs="Arial"/>
        </w:rPr>
        <w:t xml:space="preserve">momenteel </w:t>
      </w:r>
      <w:r w:rsidRPr="001A5300">
        <w:rPr>
          <w:rFonts w:cs="Arial"/>
        </w:rPr>
        <w:t xml:space="preserve">€ </w:t>
      </w:r>
      <w:r w:rsidRPr="001A5300">
        <w:rPr>
          <w:rFonts w:cs="Arial"/>
          <w:bCs/>
        </w:rPr>
        <w:t>1.981.680,</w:t>
      </w:r>
      <w:r w:rsidR="0038327D">
        <w:rPr>
          <w:rFonts w:cs="Arial"/>
          <w:bCs/>
        </w:rPr>
        <w:t>00</w:t>
      </w:r>
      <w:r w:rsidRPr="001A5300">
        <w:rPr>
          <w:rFonts w:cs="Arial"/>
          <w:bCs/>
        </w:rPr>
        <w:t>.</w:t>
      </w:r>
      <w:r w:rsidRPr="001A5300">
        <w:rPr>
          <w:rFonts w:cs="Arial"/>
          <w:bCs/>
          <w:sz w:val="20"/>
          <w:szCs w:val="20"/>
        </w:rPr>
        <w:t xml:space="preserve"> </w:t>
      </w:r>
      <w:r w:rsidRPr="001A5300">
        <w:rPr>
          <w:rFonts w:cs="Arial"/>
          <w:bCs/>
        </w:rPr>
        <w:t xml:space="preserve">Omdat een aantal medewerkers nog geen </w:t>
      </w:r>
      <w:r>
        <w:rPr>
          <w:rFonts w:cs="Arial"/>
          <w:bCs/>
        </w:rPr>
        <w:t xml:space="preserve">formeel </w:t>
      </w:r>
      <w:r w:rsidRPr="001A5300">
        <w:rPr>
          <w:rFonts w:cs="Arial"/>
          <w:bCs/>
        </w:rPr>
        <w:t>verzoek hee</w:t>
      </w:r>
      <w:r>
        <w:rPr>
          <w:rFonts w:cs="Arial"/>
          <w:bCs/>
        </w:rPr>
        <w:t>ft</w:t>
      </w:r>
      <w:r w:rsidRPr="001A5300">
        <w:rPr>
          <w:rFonts w:cs="Arial"/>
          <w:bCs/>
        </w:rPr>
        <w:t xml:space="preserve"> ingediend en de regeling tot en met 31 december 2018 doorloopt, is n</w:t>
      </w:r>
      <w:r w:rsidR="00140A1A">
        <w:rPr>
          <w:rFonts w:cs="Arial"/>
          <w:bCs/>
        </w:rPr>
        <w:t>u</w:t>
      </w:r>
      <w:r w:rsidRPr="001A5300">
        <w:rPr>
          <w:rFonts w:cs="Arial"/>
          <w:bCs/>
        </w:rPr>
        <w:t xml:space="preserve"> niet exact aan te geven om welke kosten het uiteindelijk gaat. </w:t>
      </w:r>
    </w:p>
    <w:p w:rsidR="00450C19" w:rsidRDefault="00674AD4" w:rsidP="00450C19">
      <w:pPr>
        <w:spacing w:line="288" w:lineRule="auto"/>
        <w:rPr>
          <w:rFonts w:cs="Arial"/>
          <w:bCs/>
        </w:rPr>
      </w:pPr>
      <w:r>
        <w:rPr>
          <w:rFonts w:cs="Arial"/>
          <w:bCs/>
        </w:rPr>
        <w:t>U</w:t>
      </w:r>
      <w:r w:rsidRPr="001A5300">
        <w:rPr>
          <w:rFonts w:cs="Arial"/>
          <w:bCs/>
        </w:rPr>
        <w:t xml:space="preserve"> heeft bij de vaststelling van de begroting 2018 €</w:t>
      </w:r>
      <w:r>
        <w:rPr>
          <w:rFonts w:cs="Arial"/>
          <w:bCs/>
        </w:rPr>
        <w:t xml:space="preserve"> </w:t>
      </w:r>
      <w:r w:rsidRPr="001A5300">
        <w:rPr>
          <w:rFonts w:cs="Arial"/>
          <w:bCs/>
        </w:rPr>
        <w:t>500.000,</w:t>
      </w:r>
      <w:r w:rsidR="0038327D">
        <w:rPr>
          <w:rFonts w:cs="Arial"/>
          <w:bCs/>
        </w:rPr>
        <w:t>00</w:t>
      </w:r>
      <w:r w:rsidRPr="001A5300">
        <w:rPr>
          <w:rFonts w:cs="Arial"/>
          <w:bCs/>
        </w:rPr>
        <w:t xml:space="preserve"> beschikbaar gesteld voor de kwaliteitsimpuls. Dit budget </w:t>
      </w:r>
      <w:r>
        <w:rPr>
          <w:rFonts w:cs="Arial"/>
          <w:bCs/>
        </w:rPr>
        <w:t xml:space="preserve">hebben we nog niet uitgegeven en </w:t>
      </w:r>
      <w:r w:rsidRPr="001A5300">
        <w:rPr>
          <w:rFonts w:cs="Arial"/>
          <w:bCs/>
        </w:rPr>
        <w:t>zetten we in om een gedeelte van de vertrekregelingen te dekken. Dit betekent dat er nog €</w:t>
      </w:r>
      <w:r>
        <w:rPr>
          <w:rFonts w:cs="Arial"/>
          <w:bCs/>
        </w:rPr>
        <w:t xml:space="preserve"> </w:t>
      </w:r>
      <w:r w:rsidRPr="001A5300">
        <w:rPr>
          <w:rFonts w:cs="Arial"/>
          <w:bCs/>
        </w:rPr>
        <w:t xml:space="preserve">1.481.680,00 gedekt dient te worden in 2018. </w:t>
      </w:r>
      <w:r>
        <w:rPr>
          <w:rFonts w:cs="Arial"/>
          <w:bCs/>
        </w:rPr>
        <w:t>Dit bedrag is indicatief</w:t>
      </w:r>
      <w:r w:rsidR="001A1C8F">
        <w:rPr>
          <w:rFonts w:cs="Arial"/>
          <w:bCs/>
        </w:rPr>
        <w:t xml:space="preserve">. In de komende maanden wordt duidelijk wat de </w:t>
      </w:r>
      <w:r w:rsidR="005A3FB1">
        <w:rPr>
          <w:rFonts w:cs="Arial"/>
          <w:bCs/>
        </w:rPr>
        <w:t xml:space="preserve">definitieve totale kosten zijn </w:t>
      </w:r>
      <w:r w:rsidR="001A1C8F">
        <w:rPr>
          <w:rFonts w:cs="Arial"/>
          <w:bCs/>
        </w:rPr>
        <w:t>van de vertrekregeling.</w:t>
      </w:r>
      <w:r>
        <w:rPr>
          <w:rFonts w:cs="Arial"/>
          <w:bCs/>
        </w:rPr>
        <w:t xml:space="preserve"> </w:t>
      </w:r>
      <w:r w:rsidR="0038327D">
        <w:rPr>
          <w:rFonts w:cs="Arial"/>
          <w:bCs/>
        </w:rPr>
        <w:t>Deze € 1.481.680,00 is opgenomen in het saldo van de Najaarsnota.</w:t>
      </w:r>
    </w:p>
    <w:p w:rsidR="00060B5B" w:rsidRDefault="00060B5B" w:rsidP="00060B5B">
      <w:pPr>
        <w:spacing w:line="288" w:lineRule="auto"/>
        <w:rPr>
          <w:rFonts w:cs="Arial"/>
          <w:bCs/>
        </w:rPr>
      </w:pPr>
    </w:p>
    <w:p w:rsidR="000E6C5C" w:rsidRDefault="009B569D" w:rsidP="00FA1AC1">
      <w:pPr>
        <w:spacing w:line="288" w:lineRule="auto"/>
        <w:rPr>
          <w:rFonts w:cs="Arial"/>
        </w:rPr>
      </w:pPr>
      <w:r>
        <w:rPr>
          <w:rFonts w:cs="Arial"/>
        </w:rPr>
        <w:br w:type="page"/>
      </w:r>
      <w:r w:rsidR="00F77351">
        <w:rPr>
          <w:rFonts w:cs="Arial"/>
        </w:rPr>
        <w:lastRenderedPageBreak/>
        <w:t>Voor een uitgebreide toelichting verwijzen wij u naar de bijlage “Stand van zaken personeelsbudgetten/vertrekregeling” die is toegevoegd aan de Najaarsnota.</w:t>
      </w:r>
    </w:p>
    <w:p w:rsidR="000E6C5C" w:rsidRDefault="000E6C5C" w:rsidP="00FA1AC1">
      <w:pPr>
        <w:spacing w:line="288" w:lineRule="auto"/>
        <w:rPr>
          <w:rFonts w:cs="Arial"/>
        </w:rPr>
      </w:pPr>
    </w:p>
    <w:p w:rsidR="00216B64" w:rsidRDefault="00F531F1" w:rsidP="002F4C59"/>
    <w:p w:rsidR="00216B64" w:rsidRDefault="00F531F1" w:rsidP="002F4C59"/>
    <w:p w:rsidR="00A067C2" w:rsidRDefault="00450C19" w:rsidP="002F4C59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rPr>
          <w:rFonts w:hint="default"/>
        </w:rPr>
      </w:pPr>
      <w:r w:rsidRPr="00132D12">
        <w:rPr>
          <w:rFonts w:ascii="Arial" w:hAnsi="Arial"/>
          <w:sz w:val="21"/>
          <w:szCs w:val="24"/>
        </w:rPr>
        <w:t>Met vriendelijke groet,</w:t>
      </w:r>
    </w:p>
    <w:p w:rsidR="009249F9" w:rsidRDefault="00F531F1" w:rsidP="002C6ED4">
      <w:pPr>
        <w:rPr>
          <w:rFonts w:cs="Arial"/>
        </w:rPr>
      </w:pPr>
    </w:p>
    <w:p w:rsidR="00503F30" w:rsidRDefault="00450C19" w:rsidP="006F6444">
      <w:pPr>
        <w:rPr>
          <w:rFonts w:cs="Arial"/>
        </w:rPr>
      </w:pPr>
      <w:r>
        <w:rPr>
          <w:rFonts w:cs="Arial"/>
        </w:rPr>
        <w:t>Burgemeester en wethouders van Berkelland,</w:t>
      </w:r>
    </w:p>
    <w:p w:rsidR="00503F30" w:rsidRDefault="00450C19" w:rsidP="006F6444">
      <w:pPr>
        <w:rPr>
          <w:rFonts w:cs="Arial"/>
        </w:rPr>
      </w:pPr>
      <w:r>
        <w:rPr>
          <w:rFonts w:cs="Arial"/>
        </w:rPr>
        <w:t>de secretaris,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de burgemeester,</w:t>
      </w:r>
    </w:p>
    <w:p w:rsidR="00503F30" w:rsidRDefault="00F531F1" w:rsidP="006F6444">
      <w:pPr>
        <w:rPr>
          <w:rFonts w:cs="Arial"/>
        </w:rPr>
      </w:pPr>
    </w:p>
    <w:p w:rsidR="00503F30" w:rsidRDefault="00F531F1" w:rsidP="006F6444">
      <w:pPr>
        <w:rPr>
          <w:rFonts w:cs="Arial"/>
        </w:rPr>
      </w:pPr>
    </w:p>
    <w:p w:rsidR="00503F30" w:rsidRDefault="00F531F1" w:rsidP="006F6444">
      <w:pPr>
        <w:rPr>
          <w:rFonts w:cs="Arial"/>
        </w:rPr>
      </w:pPr>
    </w:p>
    <w:p w:rsidR="00503F30" w:rsidRDefault="00F531F1" w:rsidP="006F6444">
      <w:pPr>
        <w:rPr>
          <w:rFonts w:cs="Arial"/>
        </w:rPr>
      </w:pPr>
    </w:p>
    <w:p w:rsidR="006F6444" w:rsidRPr="007C064F" w:rsidRDefault="00450C19" w:rsidP="006F6444">
      <w:pPr>
        <w:rPr>
          <w:rFonts w:cs="Arial"/>
        </w:rPr>
      </w:pPr>
      <w:r>
        <w:rPr>
          <w:rFonts w:cs="Arial"/>
        </w:rPr>
        <w:t>M.N.J. Broers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drs. J.H.A. van </w:t>
      </w:r>
      <w:proofErr w:type="spellStart"/>
      <w:r>
        <w:rPr>
          <w:rFonts w:cs="Arial"/>
        </w:rPr>
        <w:t>Oostrum</w:t>
      </w:r>
      <w:proofErr w:type="spellEnd"/>
      <w:r>
        <w:rPr>
          <w:rFonts w:cs="Arial"/>
        </w:rPr>
        <w:t xml:space="preserve"> </w:t>
      </w:r>
    </w:p>
    <w:p w:rsidR="002C6ED4" w:rsidRDefault="00F531F1" w:rsidP="002C6ED4">
      <w:pPr>
        <w:rPr>
          <w:rFonts w:cs="Arial"/>
        </w:rPr>
      </w:pPr>
    </w:p>
    <w:p w:rsidR="002C6ED4" w:rsidRDefault="00F531F1" w:rsidP="002C6ED4">
      <w:pPr>
        <w:rPr>
          <w:rFonts w:cs="Arial"/>
        </w:rPr>
      </w:pPr>
    </w:p>
    <w:p w:rsidR="002C6ED4" w:rsidRDefault="00F531F1" w:rsidP="002C6ED4">
      <w:pPr>
        <w:rPr>
          <w:rFonts w:cs="Arial"/>
        </w:rPr>
      </w:pPr>
    </w:p>
    <w:p w:rsidR="002C6ED4" w:rsidRDefault="00F531F1" w:rsidP="002C6ED4">
      <w:pPr>
        <w:rPr>
          <w:rFonts w:cs="Arial"/>
        </w:rPr>
      </w:pPr>
    </w:p>
    <w:p w:rsidR="009249F9" w:rsidRDefault="00F531F1" w:rsidP="008E0F1B">
      <w:pPr>
        <w:rPr>
          <w:rFonts w:cs="Arial"/>
          <w:i/>
          <w:sz w:val="18"/>
          <w:szCs w:val="18"/>
        </w:rPr>
      </w:pPr>
    </w:p>
    <w:p w:rsidR="009249F9" w:rsidRDefault="00F531F1" w:rsidP="008E0F1B">
      <w:pPr>
        <w:rPr>
          <w:rFonts w:cs="Arial"/>
          <w:i/>
          <w:sz w:val="18"/>
          <w:szCs w:val="18"/>
        </w:rPr>
      </w:pPr>
    </w:p>
    <w:p w:rsidR="003F4D78" w:rsidRDefault="00F531F1" w:rsidP="008E0F1B">
      <w:pPr>
        <w:rPr>
          <w:rFonts w:cs="Arial"/>
          <w:i/>
          <w:sz w:val="18"/>
          <w:szCs w:val="18"/>
        </w:rPr>
      </w:pPr>
    </w:p>
    <w:p w:rsidR="003F4D78" w:rsidRDefault="00F531F1" w:rsidP="008E0F1B">
      <w:pPr>
        <w:rPr>
          <w:rFonts w:cs="Arial"/>
          <w:i/>
          <w:sz w:val="18"/>
          <w:szCs w:val="18"/>
        </w:rPr>
      </w:pPr>
    </w:p>
    <w:p w:rsidR="003F4D78" w:rsidRDefault="00F531F1" w:rsidP="008E0F1B">
      <w:pPr>
        <w:rPr>
          <w:rFonts w:cs="Arial"/>
          <w:i/>
          <w:sz w:val="18"/>
          <w:szCs w:val="18"/>
        </w:rPr>
      </w:pPr>
    </w:p>
    <w:p w:rsidR="003F4D78" w:rsidRDefault="00F531F1" w:rsidP="008E0F1B">
      <w:pPr>
        <w:rPr>
          <w:rFonts w:cs="Arial"/>
          <w:i/>
          <w:sz w:val="18"/>
          <w:szCs w:val="18"/>
        </w:rPr>
      </w:pPr>
    </w:p>
    <w:p w:rsidR="003F4D78" w:rsidRDefault="00F531F1" w:rsidP="008E0F1B">
      <w:pPr>
        <w:rPr>
          <w:rFonts w:cs="Arial"/>
          <w:i/>
          <w:sz w:val="18"/>
          <w:szCs w:val="18"/>
        </w:rPr>
      </w:pPr>
    </w:p>
    <w:p w:rsidR="003F4D78" w:rsidRDefault="00F531F1" w:rsidP="008E0F1B">
      <w:pPr>
        <w:rPr>
          <w:rFonts w:cs="Arial"/>
          <w:i/>
          <w:sz w:val="18"/>
          <w:szCs w:val="18"/>
        </w:rPr>
      </w:pPr>
    </w:p>
    <w:p w:rsidR="003F4D78" w:rsidRDefault="00F531F1" w:rsidP="008E0F1B">
      <w:pPr>
        <w:rPr>
          <w:rFonts w:cs="Arial"/>
          <w:i/>
          <w:sz w:val="18"/>
          <w:szCs w:val="18"/>
        </w:rPr>
      </w:pPr>
    </w:p>
    <w:p w:rsidR="003F4D78" w:rsidRDefault="00F531F1" w:rsidP="008E0F1B">
      <w:pPr>
        <w:rPr>
          <w:rFonts w:cs="Arial"/>
          <w:i/>
          <w:sz w:val="18"/>
          <w:szCs w:val="18"/>
        </w:rPr>
      </w:pPr>
    </w:p>
    <w:p w:rsidR="003F4D78" w:rsidRPr="00114FA2" w:rsidRDefault="00450C19" w:rsidP="003F4D78">
      <w:pPr>
        <w:rPr>
          <w:rFonts w:cs="Arial"/>
          <w:i/>
          <w:sz w:val="18"/>
          <w:szCs w:val="18"/>
        </w:rPr>
      </w:pPr>
      <w:r w:rsidRPr="00114FA2">
        <w:rPr>
          <w:rFonts w:cs="Arial"/>
          <w:i/>
          <w:sz w:val="18"/>
          <w:szCs w:val="18"/>
        </w:rPr>
        <w:t>Kopie aan:</w:t>
      </w:r>
    </w:p>
    <w:p w:rsidR="003F4D78" w:rsidRPr="00B1688D" w:rsidRDefault="00450C19" w:rsidP="003F4D78">
      <w:pPr>
        <w:rPr>
          <w:rFonts w:cs="Arial"/>
          <w:i/>
          <w:sz w:val="18"/>
          <w:szCs w:val="18"/>
        </w:rPr>
      </w:pPr>
      <w:r w:rsidRPr="00B1688D">
        <w:rPr>
          <w:rFonts w:cs="Arial"/>
          <w:i/>
          <w:sz w:val="18"/>
          <w:szCs w:val="18"/>
        </w:rPr>
        <w:t>- Archief</w:t>
      </w:r>
    </w:p>
    <w:p w:rsidR="003F4D78" w:rsidRPr="00B1688D" w:rsidRDefault="00F531F1" w:rsidP="003F4D78">
      <w:pPr>
        <w:rPr>
          <w:rFonts w:cs="Arial"/>
          <w:i/>
          <w:sz w:val="18"/>
          <w:szCs w:val="18"/>
        </w:rPr>
      </w:pPr>
    </w:p>
    <w:p w:rsidR="003F4D78" w:rsidRPr="00317F93" w:rsidRDefault="00F531F1" w:rsidP="003F4D78">
      <w:pPr>
        <w:rPr>
          <w:rFonts w:cs="Arial"/>
          <w:i/>
          <w:sz w:val="18"/>
          <w:szCs w:val="18"/>
        </w:rPr>
      </w:pPr>
    </w:p>
    <w:sectPr w:rsidR="003F4D78" w:rsidRPr="00317F93" w:rsidSect="007B7D85">
      <w:footerReference w:type="default" r:id="rId8"/>
      <w:headerReference w:type="first" r:id="rId9"/>
      <w:footerReference w:type="first" r:id="rId10"/>
      <w:pgSz w:w="11906" w:h="16838" w:code="9"/>
      <w:pgMar w:top="1418" w:right="907" w:bottom="1418" w:left="1644" w:header="709" w:footer="709" w:gutter="0"/>
      <w:paperSrc w:first="3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D7" w:rsidRDefault="00450C19">
      <w:r>
        <w:separator/>
      </w:r>
    </w:p>
  </w:endnote>
  <w:endnote w:type="continuationSeparator" w:id="0">
    <w:p w:rsidR="005432D7" w:rsidRDefault="0045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CE" w:rsidRDefault="00450C19" w:rsidP="006E10D8">
    <w:pPr>
      <w:pStyle w:val="Voettekst"/>
      <w:jc w:val="center"/>
    </w:pPr>
    <w:r>
      <w:rPr>
        <w:rFonts w:cs="Arial" w:hint="cs"/>
        <w:lang w:eastAsia="en-US"/>
      </w:rPr>
      <w:fldChar w:fldCharType="begin"/>
    </w:r>
    <w:r>
      <w:rPr>
        <w:rFonts w:cs="Arial" w:hint="cs"/>
        <w:lang w:eastAsia="en-US"/>
      </w:rPr>
      <w:instrText xml:space="preserve"> PAGE   \* MERGEFORMAT </w:instrText>
    </w:r>
    <w:r>
      <w:rPr>
        <w:rFonts w:cs="Arial" w:hint="cs"/>
        <w:lang w:eastAsia="en-US"/>
      </w:rPr>
      <w:fldChar w:fldCharType="separate"/>
    </w:r>
    <w:r w:rsidR="00F531F1">
      <w:rPr>
        <w:rFonts w:cs="Arial"/>
        <w:noProof/>
        <w:lang w:eastAsia="en-US"/>
      </w:rPr>
      <w:t>2</w:t>
    </w:r>
    <w:r>
      <w:rPr>
        <w:rFonts w:cs="Arial" w:hint="cs"/>
        <w:lang w:eastAsia="en-US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CE" w:rsidRDefault="00F531F1" w:rsidP="002205BD">
    <w:pPr>
      <w:pStyle w:val="Voettekst"/>
      <w:framePr w:wrap="around" w:vAnchor="text" w:hAnchor="margin" w:xAlign="right" w:y="1"/>
      <w:rPr>
        <w:rStyle w:val="Paginanummer"/>
      </w:rPr>
    </w:pPr>
  </w:p>
  <w:p w:rsidR="00CB19CE" w:rsidRDefault="00450C19" w:rsidP="00CB19CE">
    <w:pPr>
      <w:pStyle w:val="Voettekst"/>
      <w:framePr w:w="11794" w:h="896" w:hRule="exact" w:hSpace="181" w:wrap="around" w:vAnchor="text" w:hAnchor="page" w:x="69" w:y="-39"/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Gemeente Berkelland, Postbus 200, 7270 HA BORCULO </w:t>
    </w:r>
    <w:r w:rsidRPr="00007241">
      <w:rPr>
        <w:b/>
        <w:i/>
        <w:sz w:val="18"/>
        <w:szCs w:val="18"/>
      </w:rPr>
      <w:t>T:</w:t>
    </w:r>
    <w:r>
      <w:rPr>
        <w:b/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0545-250 250 </w:t>
    </w:r>
    <w:r w:rsidRPr="00007241">
      <w:rPr>
        <w:b/>
        <w:i/>
        <w:sz w:val="18"/>
        <w:szCs w:val="18"/>
      </w:rPr>
      <w:t>E:</w:t>
    </w:r>
    <w:r>
      <w:rPr>
        <w:i/>
        <w:sz w:val="18"/>
        <w:szCs w:val="18"/>
      </w:rPr>
      <w:t xml:space="preserve"> </w:t>
    </w:r>
    <w:r w:rsidRPr="006D2F1D">
      <w:rPr>
        <w:i/>
        <w:sz w:val="18"/>
        <w:szCs w:val="18"/>
      </w:rPr>
      <w:t>info@gemeenteberkelland.nl</w:t>
    </w:r>
  </w:p>
  <w:p w:rsidR="00CB19CE" w:rsidRDefault="00450C19" w:rsidP="00CB19CE">
    <w:pPr>
      <w:pStyle w:val="Voettekst"/>
      <w:framePr w:w="11794" w:h="896" w:hRule="exact" w:hSpace="181" w:wrap="around" w:vAnchor="text" w:hAnchor="page" w:x="69" w:y="-39"/>
      <w:jc w:val="center"/>
      <w:rPr>
        <w:i/>
        <w:sz w:val="18"/>
        <w:szCs w:val="18"/>
      </w:rPr>
    </w:pPr>
    <w:r w:rsidRPr="006D2F1D">
      <w:rPr>
        <w:i/>
        <w:sz w:val="18"/>
        <w:szCs w:val="18"/>
      </w:rPr>
      <w:t>www.gemeenteberkelland.nl</w:t>
    </w:r>
    <w:r>
      <w:rPr>
        <w:i/>
        <w:sz w:val="18"/>
        <w:szCs w:val="18"/>
      </w:rPr>
      <w:t xml:space="preserve">, </w:t>
    </w:r>
    <w:r>
      <w:rPr>
        <w:i/>
        <w:iCs/>
        <w:sz w:val="18"/>
        <w:szCs w:val="18"/>
      </w:rPr>
      <w:t xml:space="preserve">Bank Nederlandse Gemeenten: </w:t>
    </w:r>
    <w:r w:rsidRPr="008379CE">
      <w:rPr>
        <w:i/>
        <w:iCs/>
        <w:sz w:val="18"/>
        <w:szCs w:val="18"/>
      </w:rPr>
      <w:t xml:space="preserve">IBAN: </w:t>
    </w:r>
    <w:r w:rsidRPr="008379CE">
      <w:rPr>
        <w:bCs/>
        <w:i/>
        <w:iCs/>
        <w:sz w:val="18"/>
        <w:szCs w:val="18"/>
      </w:rPr>
      <w:t>NL35BNGH0285112600</w:t>
    </w:r>
    <w:r w:rsidRPr="008379CE">
      <w:rPr>
        <w:i/>
        <w:iCs/>
        <w:sz w:val="18"/>
        <w:szCs w:val="18"/>
      </w:rPr>
      <w:t xml:space="preserve">  BIC</w:t>
    </w:r>
    <w:r>
      <w:rPr>
        <w:i/>
        <w:iCs/>
        <w:sz w:val="18"/>
        <w:szCs w:val="18"/>
      </w:rPr>
      <w:t>: BNGHNL2G</w:t>
    </w:r>
  </w:p>
  <w:p w:rsidR="00CB19CE" w:rsidRDefault="00F531F1" w:rsidP="00CB19CE">
    <w:pPr>
      <w:pStyle w:val="Voettekst"/>
      <w:framePr w:w="11794" w:h="896" w:hRule="exact" w:hSpace="181" w:wrap="around" w:vAnchor="text" w:hAnchor="page" w:x="69" w:y="-39"/>
      <w:jc w:val="center"/>
      <w:rPr>
        <w:i/>
        <w:sz w:val="18"/>
        <w:szCs w:val="18"/>
      </w:rPr>
    </w:pPr>
  </w:p>
  <w:p w:rsidR="00CB19CE" w:rsidRPr="00ED607A" w:rsidRDefault="00F531F1" w:rsidP="00CB19CE">
    <w:pPr>
      <w:pStyle w:val="Voettekst"/>
      <w:framePr w:w="11794" w:h="896" w:hRule="exact" w:hSpace="181" w:wrap="around" w:vAnchor="text" w:hAnchor="page" w:x="69" w:y="-39"/>
      <w:jc w:val="center"/>
      <w:rPr>
        <w:i/>
        <w:sz w:val="18"/>
        <w:szCs w:val="18"/>
      </w:rPr>
    </w:pPr>
  </w:p>
  <w:p w:rsidR="00CB19CE" w:rsidRDefault="00F531F1" w:rsidP="0010569F">
    <w:pPr>
      <w:pStyle w:val="Kop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D7" w:rsidRDefault="00450C19">
      <w:r>
        <w:separator/>
      </w:r>
    </w:p>
  </w:footnote>
  <w:footnote w:type="continuationSeparator" w:id="0">
    <w:p w:rsidR="005432D7" w:rsidRDefault="00450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CE" w:rsidRDefault="00F531F1" w:rsidP="00B75137">
    <w:pPr>
      <w:pStyle w:val="Koptekst"/>
      <w:framePr w:wrap="around" w:vAnchor="text" w:hAnchor="margin" w:xAlign="right" w:y="1"/>
      <w:rPr>
        <w:rStyle w:val="Paginanummer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1414"/>
      <w:gridCol w:w="345"/>
      <w:gridCol w:w="2959"/>
      <w:gridCol w:w="4777"/>
      <w:gridCol w:w="76"/>
    </w:tblGrid>
    <w:tr w:rsidR="0038568B" w:rsidTr="008B255C">
      <w:trPr>
        <w:gridAfter w:val="1"/>
        <w:wAfter w:w="70" w:type="dxa"/>
        <w:trHeight w:hRule="exact" w:val="851"/>
      </w:trPr>
      <w:tc>
        <w:tcPr>
          <w:tcW w:w="9501" w:type="dxa"/>
          <w:gridSpan w:val="4"/>
          <w:shd w:val="clear" w:color="auto" w:fill="auto"/>
        </w:tcPr>
        <w:p w:rsidR="00CB19CE" w:rsidRPr="0072500E" w:rsidRDefault="00F531F1" w:rsidP="0072500E">
          <w:pPr>
            <w:pStyle w:val="Koptekst"/>
            <w:ind w:right="360"/>
            <w:rPr>
              <w:rFonts w:cs="Arial"/>
              <w:sz w:val="16"/>
              <w:szCs w:val="16"/>
            </w:rPr>
          </w:pPr>
        </w:p>
        <w:p w:rsidR="00CB19CE" w:rsidRPr="0072500E" w:rsidRDefault="00F531F1" w:rsidP="00D1676F">
          <w:pPr>
            <w:pStyle w:val="Koptekst"/>
            <w:rPr>
              <w:rFonts w:cs="Arial"/>
              <w:sz w:val="16"/>
              <w:szCs w:val="16"/>
            </w:rPr>
          </w:pPr>
        </w:p>
        <w:p w:rsidR="00CB19CE" w:rsidRPr="0072500E" w:rsidRDefault="00F531F1" w:rsidP="00D1676F">
          <w:pPr>
            <w:pStyle w:val="Koptekst"/>
            <w:rPr>
              <w:rFonts w:cs="Arial"/>
              <w:sz w:val="16"/>
              <w:szCs w:val="16"/>
            </w:rPr>
          </w:pPr>
        </w:p>
      </w:tc>
    </w:tr>
    <w:tr w:rsidR="0038568B" w:rsidTr="008B255C">
      <w:tblPrEx>
        <w:jc w:val="right"/>
      </w:tblPrEx>
      <w:trPr>
        <w:trHeight w:hRule="exact" w:val="20"/>
        <w:jc w:val="right"/>
      </w:trPr>
      <w:tc>
        <w:tcPr>
          <w:tcW w:w="9571" w:type="dxa"/>
          <w:gridSpan w:val="5"/>
          <w:shd w:val="clear" w:color="auto" w:fill="auto"/>
        </w:tcPr>
        <w:p w:rsidR="00CB19CE" w:rsidRPr="0072500E" w:rsidRDefault="00F531F1" w:rsidP="0072500E">
          <w:pPr>
            <w:pStyle w:val="Koptekst"/>
            <w:jc w:val="right"/>
            <w:rPr>
              <w:b/>
              <w:i/>
              <w:sz w:val="24"/>
              <w:szCs w:val="24"/>
            </w:rPr>
          </w:pPr>
        </w:p>
      </w:tc>
    </w:tr>
    <w:tr w:rsidR="0038568B" w:rsidTr="008B255C">
      <w:tblPrEx>
        <w:jc w:val="right"/>
      </w:tblPrEx>
      <w:trPr>
        <w:trHeight w:hRule="exact" w:val="454"/>
        <w:jc w:val="right"/>
      </w:trPr>
      <w:tc>
        <w:tcPr>
          <w:tcW w:w="9571" w:type="dxa"/>
          <w:gridSpan w:val="5"/>
          <w:shd w:val="clear" w:color="auto" w:fill="auto"/>
        </w:tcPr>
        <w:p w:rsidR="00CB19CE" w:rsidRPr="0072500E" w:rsidRDefault="00F531F1" w:rsidP="0072500E">
          <w:pPr>
            <w:pStyle w:val="Koptekst"/>
            <w:jc w:val="right"/>
            <w:rPr>
              <w:b/>
              <w:i/>
              <w:sz w:val="24"/>
              <w:szCs w:val="24"/>
            </w:rPr>
          </w:pPr>
        </w:p>
      </w:tc>
    </w:tr>
    <w:tr w:rsidR="0038568B" w:rsidTr="008B255C">
      <w:tblPrEx>
        <w:jc w:val="right"/>
      </w:tblPrEx>
      <w:trPr>
        <w:trHeight w:hRule="exact" w:val="255"/>
        <w:jc w:val="right"/>
      </w:trPr>
      <w:tc>
        <w:tcPr>
          <w:tcW w:w="9571" w:type="dxa"/>
          <w:gridSpan w:val="5"/>
          <w:shd w:val="clear" w:color="auto" w:fill="auto"/>
        </w:tcPr>
        <w:p w:rsidR="00CB19CE" w:rsidRPr="0072500E" w:rsidRDefault="00450C19" w:rsidP="00556094">
          <w:pPr>
            <w:pStyle w:val="Koptekst"/>
            <w:jc w:val="right"/>
            <w:rPr>
              <w:rFonts w:cs="Arial"/>
              <w:i/>
              <w:sz w:val="18"/>
              <w:szCs w:val="18"/>
            </w:rPr>
          </w:pPr>
          <w:r w:rsidRPr="000432E2">
            <w:rPr>
              <w:rFonts w:cs="Arial"/>
              <w:b/>
              <w:i/>
              <w:sz w:val="18"/>
              <w:szCs w:val="18"/>
            </w:rPr>
            <w:t>C: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cs="Arial"/>
              <w:i/>
              <w:sz w:val="18"/>
              <w:szCs w:val="18"/>
            </w:rPr>
            <w:t xml:space="preserve">J.H.A. </w:t>
          </w:r>
          <w:proofErr w:type="spellStart"/>
          <w:r>
            <w:rPr>
              <w:rFonts w:cs="Arial"/>
              <w:i/>
              <w:sz w:val="18"/>
              <w:szCs w:val="18"/>
            </w:rPr>
            <w:t>Leppink</w:t>
          </w:r>
          <w:proofErr w:type="spellEnd"/>
          <w:r>
            <w:rPr>
              <w:rFonts w:cs="Arial"/>
              <w:b/>
              <w:i/>
              <w:sz w:val="18"/>
              <w:szCs w:val="18"/>
            </w:rPr>
            <w:t xml:space="preserve"> </w:t>
          </w:r>
        </w:p>
      </w:tc>
    </w:tr>
    <w:tr w:rsidR="0038568B" w:rsidTr="008B255C">
      <w:tblPrEx>
        <w:jc w:val="right"/>
      </w:tblPrEx>
      <w:trPr>
        <w:trHeight w:hRule="exact" w:val="255"/>
        <w:jc w:val="right"/>
      </w:trPr>
      <w:tc>
        <w:tcPr>
          <w:tcW w:w="9571" w:type="dxa"/>
          <w:gridSpan w:val="5"/>
          <w:shd w:val="clear" w:color="auto" w:fill="auto"/>
        </w:tcPr>
        <w:p w:rsidR="00CB19CE" w:rsidRPr="0072500E" w:rsidRDefault="00450C19" w:rsidP="002D5C52">
          <w:pPr>
            <w:pStyle w:val="Koptekst"/>
            <w:jc w:val="right"/>
            <w:rPr>
              <w:rFonts w:cs="Arial"/>
              <w:i/>
              <w:sz w:val="18"/>
              <w:szCs w:val="18"/>
            </w:rPr>
          </w:pPr>
          <w:r w:rsidRPr="0072500E">
            <w:rPr>
              <w:rFonts w:cs="Arial"/>
              <w:b/>
              <w:i/>
              <w:sz w:val="18"/>
              <w:szCs w:val="18"/>
            </w:rPr>
            <w:t xml:space="preserve">T: </w:t>
          </w:r>
          <w:r w:rsidRPr="0072500E">
            <w:rPr>
              <w:rFonts w:cs="Arial"/>
              <w:i/>
              <w:sz w:val="18"/>
              <w:szCs w:val="18"/>
            </w:rPr>
            <w:t xml:space="preserve"> </w:t>
          </w:r>
          <w:r>
            <w:rPr>
              <w:rFonts w:cs="Arial"/>
              <w:i/>
              <w:sz w:val="18"/>
              <w:szCs w:val="18"/>
            </w:rPr>
            <w:t>0545-250 250</w:t>
          </w:r>
        </w:p>
      </w:tc>
    </w:tr>
    <w:tr w:rsidR="0038568B" w:rsidTr="008B255C">
      <w:tblPrEx>
        <w:jc w:val="right"/>
      </w:tblPrEx>
      <w:trPr>
        <w:trHeight w:hRule="exact" w:val="255"/>
        <w:jc w:val="right"/>
      </w:trPr>
      <w:tc>
        <w:tcPr>
          <w:tcW w:w="4711" w:type="dxa"/>
          <w:gridSpan w:val="3"/>
          <w:vMerge w:val="restart"/>
          <w:shd w:val="clear" w:color="auto" w:fill="auto"/>
          <w:tcMar>
            <w:left w:w="108" w:type="dxa"/>
            <w:right w:w="108" w:type="dxa"/>
          </w:tcMar>
        </w:tcPr>
        <w:p w:rsidR="00CB19CE" w:rsidRPr="00A643E7" w:rsidRDefault="00450C19" w:rsidP="0022239F">
          <w:r w:rsidRPr="00A643E7">
            <w:br/>
          </w:r>
          <w:r>
            <w:t>Gemeenteraad gemeente Berkelland</w:t>
          </w:r>
        </w:p>
      </w:tc>
      <w:tc>
        <w:tcPr>
          <w:tcW w:w="4860" w:type="dxa"/>
          <w:gridSpan w:val="2"/>
          <w:shd w:val="clear" w:color="auto" w:fill="auto"/>
          <w:tcMar>
            <w:left w:w="108" w:type="dxa"/>
            <w:right w:w="108" w:type="dxa"/>
          </w:tcMar>
        </w:tcPr>
        <w:p w:rsidR="00CB19CE" w:rsidRPr="0072500E" w:rsidRDefault="00450C19" w:rsidP="002D5C52">
          <w:pPr>
            <w:pStyle w:val="Koptekst"/>
            <w:jc w:val="right"/>
            <w:rPr>
              <w:rFonts w:cs="Arial"/>
              <w:i/>
              <w:sz w:val="18"/>
              <w:szCs w:val="18"/>
            </w:rPr>
          </w:pPr>
          <w:r w:rsidRPr="0072500E">
            <w:rPr>
              <w:rFonts w:cs="Arial"/>
              <w:b/>
              <w:i/>
              <w:sz w:val="18"/>
              <w:szCs w:val="18"/>
            </w:rPr>
            <w:t>E:</w:t>
          </w:r>
          <w:r w:rsidRPr="0072500E">
            <w:rPr>
              <w:rFonts w:cs="Arial"/>
              <w:i/>
              <w:sz w:val="18"/>
              <w:szCs w:val="18"/>
            </w:rPr>
            <w:t xml:space="preserve"> </w:t>
          </w:r>
          <w:r>
            <w:rPr>
              <w:rFonts w:cs="Arial"/>
              <w:i/>
              <w:sz w:val="18"/>
              <w:szCs w:val="18"/>
            </w:rPr>
            <w:t>info@gemeenteberkelland.nl</w:t>
          </w:r>
        </w:p>
      </w:tc>
    </w:tr>
    <w:tr w:rsidR="0038568B" w:rsidTr="008B255C">
      <w:tblPrEx>
        <w:jc w:val="right"/>
      </w:tblPrEx>
      <w:trPr>
        <w:trHeight w:hRule="exact" w:val="255"/>
        <w:jc w:val="right"/>
      </w:trPr>
      <w:tc>
        <w:tcPr>
          <w:tcW w:w="4711" w:type="dxa"/>
          <w:gridSpan w:val="3"/>
          <w:vMerge/>
          <w:shd w:val="clear" w:color="auto" w:fill="auto"/>
          <w:tcMar>
            <w:left w:w="108" w:type="dxa"/>
            <w:right w:w="108" w:type="dxa"/>
          </w:tcMar>
        </w:tcPr>
        <w:p w:rsidR="00CB19CE" w:rsidRPr="00A643E7" w:rsidRDefault="00F531F1" w:rsidP="0072500E">
          <w:pPr>
            <w:spacing w:line="480" w:lineRule="auto"/>
          </w:pPr>
        </w:p>
      </w:tc>
      <w:tc>
        <w:tcPr>
          <w:tcW w:w="4860" w:type="dxa"/>
          <w:gridSpan w:val="2"/>
          <w:shd w:val="clear" w:color="auto" w:fill="auto"/>
          <w:tcMar>
            <w:left w:w="108" w:type="dxa"/>
            <w:right w:w="108" w:type="dxa"/>
          </w:tcMar>
        </w:tcPr>
        <w:p w:rsidR="00CB19CE" w:rsidRPr="0072500E" w:rsidRDefault="00450C19" w:rsidP="0078039A">
          <w:pPr>
            <w:pStyle w:val="Koptekst"/>
            <w:jc w:val="right"/>
            <w:rPr>
              <w:rFonts w:cs="Arial"/>
              <w:i/>
              <w:sz w:val="18"/>
              <w:szCs w:val="18"/>
            </w:rPr>
          </w:pPr>
          <w:r w:rsidRPr="0072500E">
            <w:rPr>
              <w:rFonts w:cs="Arial"/>
              <w:i/>
              <w:sz w:val="18"/>
              <w:szCs w:val="18"/>
            </w:rPr>
            <w:t>Bezoekadres:</w:t>
          </w:r>
          <w:r>
            <w:rPr>
              <w:rFonts w:cs="Arial"/>
              <w:i/>
              <w:sz w:val="18"/>
              <w:szCs w:val="18"/>
            </w:rPr>
            <w:t xml:space="preserve"> Marktstraat 1, Borculo </w:t>
          </w:r>
        </w:p>
      </w:tc>
    </w:tr>
    <w:tr w:rsidR="0038568B" w:rsidTr="008B255C">
      <w:tblPrEx>
        <w:jc w:val="right"/>
      </w:tblPrEx>
      <w:trPr>
        <w:trHeight w:val="1778"/>
        <w:jc w:val="right"/>
      </w:trPr>
      <w:tc>
        <w:tcPr>
          <w:tcW w:w="4711" w:type="dxa"/>
          <w:gridSpan w:val="3"/>
          <w:vMerge/>
          <w:shd w:val="clear" w:color="auto" w:fill="auto"/>
        </w:tcPr>
        <w:p w:rsidR="00CB19CE" w:rsidRPr="00A643E7" w:rsidRDefault="00F531F1">
          <w:pPr>
            <w:pStyle w:val="Koptekst"/>
          </w:pPr>
        </w:p>
      </w:tc>
      <w:tc>
        <w:tcPr>
          <w:tcW w:w="4860" w:type="dxa"/>
          <w:gridSpan w:val="2"/>
          <w:shd w:val="clear" w:color="auto" w:fill="auto"/>
        </w:tcPr>
        <w:p w:rsidR="00CB19CE" w:rsidRPr="00A643E7" w:rsidRDefault="00F531F1">
          <w:pPr>
            <w:pStyle w:val="Koptekst"/>
          </w:pPr>
        </w:p>
      </w:tc>
    </w:tr>
    <w:tr w:rsidR="0038568B" w:rsidTr="00CC55F5">
      <w:trPr>
        <w:gridAfter w:val="1"/>
        <w:wAfter w:w="76" w:type="dxa"/>
        <w:trHeight w:val="205"/>
      </w:trPr>
      <w:tc>
        <w:tcPr>
          <w:tcW w:w="1406" w:type="dxa"/>
          <w:noWrap/>
          <w:tcMar>
            <w:top w:w="0" w:type="dxa"/>
            <w:left w:w="108" w:type="dxa"/>
            <w:bottom w:w="0" w:type="dxa"/>
            <w:right w:w="0" w:type="dxa"/>
          </w:tcMar>
          <w:hideMark/>
        </w:tcPr>
        <w:p w:rsidR="005C231E" w:rsidRPr="00355CCB" w:rsidRDefault="00450C19" w:rsidP="00CC55F5">
          <w:pPr>
            <w:tabs>
              <w:tab w:val="center" w:pos="4536"/>
              <w:tab w:val="right" w:pos="9072"/>
            </w:tabs>
          </w:pPr>
          <w:r>
            <w:t>Zaaknummer</w:t>
          </w:r>
        </w:p>
      </w:tc>
      <w:tc>
        <w:tcPr>
          <w:tcW w:w="329" w:type="dxa"/>
          <w:noWrap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C231E" w:rsidRPr="00355CCB" w:rsidRDefault="00450C19" w:rsidP="00CC55F5">
          <w:pPr>
            <w:tabs>
              <w:tab w:val="center" w:pos="4536"/>
              <w:tab w:val="right" w:pos="9072"/>
            </w:tabs>
          </w:pPr>
          <w:r w:rsidRPr="00355CCB">
            <w:t>:</w:t>
          </w:r>
        </w:p>
      </w:tc>
      <w:tc>
        <w:tcPr>
          <w:tcW w:w="7761" w:type="dxa"/>
          <w:gridSpan w:val="2"/>
          <w:tcMar>
            <w:top w:w="0" w:type="dxa"/>
            <w:left w:w="57" w:type="dxa"/>
            <w:bottom w:w="0" w:type="dxa"/>
            <w:right w:w="57" w:type="dxa"/>
          </w:tcMar>
          <w:hideMark/>
        </w:tcPr>
        <w:p w:rsidR="005C231E" w:rsidRPr="00355CCB" w:rsidRDefault="00F531F1" w:rsidP="00A21155">
          <w:pPr>
            <w:tabs>
              <w:tab w:val="left" w:pos="2415"/>
              <w:tab w:val="center" w:pos="4536"/>
              <w:tab w:val="right" w:pos="9072"/>
            </w:tabs>
            <w:rPr>
              <w:rFonts w:cs="Arial"/>
            </w:rPr>
          </w:pPr>
        </w:p>
      </w:tc>
    </w:tr>
    <w:tr w:rsidR="0038568B" w:rsidTr="00CC55F5">
      <w:trPr>
        <w:gridAfter w:val="1"/>
        <w:wAfter w:w="76" w:type="dxa"/>
        <w:trHeight w:val="205"/>
      </w:trPr>
      <w:tc>
        <w:tcPr>
          <w:tcW w:w="1406" w:type="dxa"/>
          <w:noWrap/>
          <w:tcMar>
            <w:top w:w="0" w:type="dxa"/>
            <w:left w:w="108" w:type="dxa"/>
            <w:bottom w:w="0" w:type="dxa"/>
            <w:right w:w="0" w:type="dxa"/>
          </w:tcMar>
        </w:tcPr>
        <w:p w:rsidR="005C231E" w:rsidRPr="00355CCB" w:rsidRDefault="00450C19" w:rsidP="00CC55F5">
          <w:pPr>
            <w:tabs>
              <w:tab w:val="center" w:pos="4536"/>
              <w:tab w:val="right" w:pos="9072"/>
            </w:tabs>
          </w:pPr>
          <w:r>
            <w:t>Onderwerp</w:t>
          </w:r>
        </w:p>
      </w:tc>
      <w:tc>
        <w:tcPr>
          <w:tcW w:w="329" w:type="dxa"/>
          <w:noWrap/>
          <w:tcMar>
            <w:top w:w="0" w:type="dxa"/>
            <w:left w:w="0" w:type="dxa"/>
            <w:bottom w:w="0" w:type="dxa"/>
            <w:right w:w="0" w:type="dxa"/>
          </w:tcMar>
        </w:tcPr>
        <w:p w:rsidR="005C231E" w:rsidRPr="00355CCB" w:rsidRDefault="00450C19" w:rsidP="00CC55F5">
          <w:pPr>
            <w:tabs>
              <w:tab w:val="center" w:pos="4536"/>
              <w:tab w:val="right" w:pos="9072"/>
            </w:tabs>
          </w:pPr>
          <w:r>
            <w:t>:</w:t>
          </w:r>
        </w:p>
      </w:tc>
      <w:tc>
        <w:tcPr>
          <w:tcW w:w="7761" w:type="dxa"/>
          <w:gridSpan w:val="2"/>
          <w:tcMar>
            <w:top w:w="0" w:type="dxa"/>
            <w:left w:w="57" w:type="dxa"/>
            <w:bottom w:w="0" w:type="dxa"/>
            <w:right w:w="57" w:type="dxa"/>
          </w:tcMar>
        </w:tcPr>
        <w:p w:rsidR="005C231E" w:rsidRPr="00F471B1" w:rsidRDefault="00450C19" w:rsidP="00CC55F5">
          <w:pPr>
            <w:tabs>
              <w:tab w:val="left" w:pos="2415"/>
              <w:tab w:val="center" w:pos="4536"/>
              <w:tab w:val="right" w:pos="9072"/>
            </w:tabs>
            <w:rPr>
              <w:rFonts w:cs="Arial"/>
            </w:rPr>
          </w:pPr>
          <w:r>
            <w:rPr>
              <w:rFonts w:eastAsia="Arial" w:cs="Arial"/>
            </w:rPr>
            <w:t>stand van zaken personeelsbudgetten/vertrekregeling</w:t>
          </w:r>
        </w:p>
      </w:tc>
    </w:tr>
    <w:tr w:rsidR="0038568B" w:rsidTr="00573899">
      <w:trPr>
        <w:gridAfter w:val="1"/>
        <w:wAfter w:w="76" w:type="dxa"/>
        <w:trHeight w:val="205"/>
      </w:trPr>
      <w:tc>
        <w:tcPr>
          <w:tcW w:w="1406" w:type="dxa"/>
          <w:noWrap/>
          <w:tcMar>
            <w:top w:w="0" w:type="dxa"/>
            <w:left w:w="108" w:type="dxa"/>
            <w:bottom w:w="0" w:type="dxa"/>
            <w:right w:w="0" w:type="dxa"/>
          </w:tcMar>
          <w:hideMark/>
        </w:tcPr>
        <w:p w:rsidR="00573899" w:rsidRDefault="00450C19">
          <w:pPr>
            <w:tabs>
              <w:tab w:val="center" w:pos="4536"/>
              <w:tab w:val="right" w:pos="9072"/>
            </w:tabs>
          </w:pPr>
          <w:r>
            <w:t>Verzonden</w:t>
          </w:r>
        </w:p>
      </w:tc>
      <w:tc>
        <w:tcPr>
          <w:tcW w:w="329" w:type="dxa"/>
          <w:noWrap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73899" w:rsidRDefault="00450C19">
          <w:pPr>
            <w:tabs>
              <w:tab w:val="center" w:pos="4536"/>
              <w:tab w:val="right" w:pos="9072"/>
            </w:tabs>
          </w:pPr>
          <w:r>
            <w:t>:</w:t>
          </w:r>
        </w:p>
      </w:tc>
      <w:tc>
        <w:tcPr>
          <w:tcW w:w="7761" w:type="dxa"/>
          <w:gridSpan w:val="2"/>
          <w:tcMar>
            <w:top w:w="0" w:type="dxa"/>
            <w:left w:w="57" w:type="dxa"/>
            <w:bottom w:w="0" w:type="dxa"/>
            <w:right w:w="57" w:type="dxa"/>
          </w:tcMar>
          <w:hideMark/>
        </w:tcPr>
        <w:p w:rsidR="00573899" w:rsidRDefault="00F531F1">
          <w:pPr>
            <w:tabs>
              <w:tab w:val="left" w:pos="2415"/>
              <w:tab w:val="center" w:pos="4536"/>
              <w:tab w:val="right" w:pos="9072"/>
            </w:tabs>
            <w:rPr>
              <w:rFonts w:cs="Arial"/>
            </w:rPr>
          </w:pPr>
        </w:p>
      </w:tc>
    </w:tr>
  </w:tbl>
  <w:p w:rsidR="00A000C8" w:rsidRPr="0035505A" w:rsidRDefault="00450C19">
    <w:pPr>
      <w:rPr>
        <w:rFonts w:cs="Arial"/>
      </w:rPr>
    </w:pPr>
    <w:r w:rsidRPr="0035505A">
      <w:rPr>
        <w:rFonts w:cs="Arial"/>
      </w:rPr>
      <w:t xml:space="preserve"> </w:t>
    </w:r>
  </w:p>
  <w:p w:rsidR="00CB19CE" w:rsidRPr="00A643E7" w:rsidRDefault="00F531F1">
    <w:pPr>
      <w:pStyle w:val="Koptekst"/>
    </w:pPr>
  </w:p>
  <w:p w:rsidR="00CB19CE" w:rsidRPr="00A643E7" w:rsidRDefault="00F531F1">
    <w:pPr>
      <w:pStyle w:val="Koptekst"/>
    </w:pPr>
  </w:p>
  <w:p w:rsidR="00CB19CE" w:rsidRPr="00A643E7" w:rsidRDefault="00450C19">
    <w:pPr>
      <w:pStyle w:val="Koptekst"/>
    </w:pPr>
    <w:r>
      <w:t xml:space="preserve">Geachte </w:t>
    </w:r>
    <w:r w:rsidR="00FA1AC1">
      <w:t>leden van de raad</w:t>
    </w:r>
    <w:r>
      <w:t>,</w:t>
    </w:r>
  </w:p>
  <w:p w:rsidR="00CB19CE" w:rsidRPr="00A643E7" w:rsidRDefault="00F531F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51550"/>
    <w:multiLevelType w:val="hybridMultilevel"/>
    <w:tmpl w:val="AB72BD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8B"/>
    <w:rsid w:val="00060B5B"/>
    <w:rsid w:val="000E6C5C"/>
    <w:rsid w:val="001016E6"/>
    <w:rsid w:val="00140A1A"/>
    <w:rsid w:val="001A1C8F"/>
    <w:rsid w:val="0020616C"/>
    <w:rsid w:val="00281698"/>
    <w:rsid w:val="0038327D"/>
    <w:rsid w:val="0038568B"/>
    <w:rsid w:val="003C6786"/>
    <w:rsid w:val="00450C19"/>
    <w:rsid w:val="005432D7"/>
    <w:rsid w:val="005A3FB1"/>
    <w:rsid w:val="005D142D"/>
    <w:rsid w:val="00674AD4"/>
    <w:rsid w:val="006F568A"/>
    <w:rsid w:val="007518C1"/>
    <w:rsid w:val="009015AC"/>
    <w:rsid w:val="009B569D"/>
    <w:rsid w:val="00AD1D94"/>
    <w:rsid w:val="00D13BFF"/>
    <w:rsid w:val="00F531F1"/>
    <w:rsid w:val="00F77351"/>
    <w:rsid w:val="00FA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1"/>
      <w:szCs w:val="21"/>
    </w:rPr>
  </w:style>
  <w:style w:type="paragraph" w:styleId="Kop2">
    <w:name w:val="heading 2"/>
    <w:basedOn w:val="Standaard"/>
    <w:next w:val="Standaard"/>
    <w:qFormat/>
    <w:rsid w:val="001056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024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024E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E0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7241"/>
    <w:rPr>
      <w:color w:val="0000FF"/>
      <w:u w:val="single"/>
    </w:rPr>
  </w:style>
  <w:style w:type="character" w:styleId="Paginanummer">
    <w:name w:val="page number"/>
    <w:basedOn w:val="Standaardalinea-lettertype"/>
    <w:rsid w:val="006E10D8"/>
  </w:style>
  <w:style w:type="paragraph" w:styleId="Geenafstand">
    <w:name w:val="No Spacing"/>
    <w:uiPriority w:val="1"/>
    <w:qFormat/>
    <w:rsid w:val="00603372"/>
    <w:rPr>
      <w:rFonts w:hint="cs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674AD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AA969F0E</Template>
  <TotalTime>0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Berkelland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J.H.A. Leppink</dc:creator>
  <cp:lastModifiedBy>Visser, Jurgen</cp:lastModifiedBy>
  <cp:revision>2</cp:revision>
  <cp:lastPrinted>2007-03-14T08:42:00Z</cp:lastPrinted>
  <dcterms:created xsi:type="dcterms:W3CDTF">2018-11-06T13:20:00Z</dcterms:created>
  <dcterms:modified xsi:type="dcterms:W3CDTF">2018-11-06T13:20:00Z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logo</vt:lpwstr>
  </property>
  <property fmtid="{D5CDD505-2E9C-101B-9397-08002B2CF9AE}" pid="3" name="p2/1">
    <vt:lpwstr>blanco A4</vt:lpwstr>
  </property>
</Properties>
</file>