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1BF75" w14:textId="7D1891E3" w:rsidR="00B60AE7" w:rsidRPr="009A0361" w:rsidRDefault="0057066A" w:rsidP="216F7159">
      <w:pPr>
        <w:spacing w:line="276" w:lineRule="auto"/>
        <w:rPr>
          <w:noProof/>
          <w:color w:val="004A93"/>
          <w:sz w:val="24"/>
        </w:rPr>
      </w:pPr>
      <w:r w:rsidRPr="216F7159">
        <w:rPr>
          <w:noProof/>
          <w:color w:val="004A93"/>
          <w:sz w:val="24"/>
        </w:rPr>
        <w:t xml:space="preserve">Bijlage bij de jaarrekening 2023 </w:t>
      </w:r>
      <w:r w:rsidR="00004AE9" w:rsidRPr="216F7159">
        <w:rPr>
          <w:noProof/>
          <w:color w:val="004A93"/>
          <w:sz w:val="24"/>
        </w:rPr>
        <w:t xml:space="preserve">ten aanzien van </w:t>
      </w:r>
      <w:r w:rsidR="5C1B92F7" w:rsidRPr="216F7159">
        <w:rPr>
          <w:noProof/>
          <w:color w:val="004A93"/>
          <w:sz w:val="24"/>
        </w:rPr>
        <w:t>het programma ‘Een toekomstbestendig sociaal domein’</w:t>
      </w:r>
    </w:p>
    <w:p w14:paraId="1545F89C" w14:textId="61FDDAB5" w:rsidR="00BE4517" w:rsidRPr="004A7E0A" w:rsidRDefault="004A7E0A" w:rsidP="004A7E0A">
      <w:pPr>
        <w:spacing w:line="276" w:lineRule="auto"/>
        <w:rPr>
          <w:rStyle w:val="Nadruk"/>
          <w:b/>
          <w:bCs/>
          <w:color w:val="808080" w:themeColor="background1" w:themeShade="80"/>
          <w:sz w:val="24"/>
          <w:szCs w:val="32"/>
          <w:u w:val="single"/>
        </w:rPr>
      </w:pPr>
      <w:r w:rsidRPr="004A7E0A">
        <w:rPr>
          <w:rStyle w:val="Nadruk"/>
          <w:b/>
          <w:bCs/>
          <w:color w:val="808080" w:themeColor="background1" w:themeShade="80"/>
          <w:sz w:val="24"/>
          <w:szCs w:val="32"/>
          <w:u w:val="single"/>
        </w:rPr>
        <w:t>Ten Geleide</w:t>
      </w:r>
    </w:p>
    <w:p w14:paraId="1A1B3BF9" w14:textId="3E674AE5" w:rsidR="004A7E0A" w:rsidRPr="0057066A" w:rsidRDefault="4AAD89C4" w:rsidP="216F7159">
      <w:pPr>
        <w:spacing w:line="259" w:lineRule="auto"/>
      </w:pPr>
      <w:r>
        <w:t xml:space="preserve">De afgelopen 5 jaar is er een verantwoordingsrapportage sociaal domein </w:t>
      </w:r>
      <w:r w:rsidR="00104F34">
        <w:t>aangeboden</w:t>
      </w:r>
      <w:r>
        <w:t>.</w:t>
      </w:r>
      <w:r w:rsidR="20E3305C">
        <w:t xml:space="preserve"> De verantwoordingsrapportage wordt vanaf dit jaar niet meer opgesteld. </w:t>
      </w:r>
      <w:r>
        <w:t>De reden hiervoor is dat met de nieuwe taken</w:t>
      </w:r>
      <w:r w:rsidR="4E5DEA8B">
        <w:t xml:space="preserve">, vanaf 2015, </w:t>
      </w:r>
      <w:r>
        <w:t xml:space="preserve">de behoefte aan een specifieke monitoring groot was. Inmiddels zijn deze nieuwe taken niet nieuw meer, wat </w:t>
      </w:r>
      <w:r w:rsidR="006A46FB">
        <w:t>aanleiding</w:t>
      </w:r>
      <w:r>
        <w:t xml:space="preserve"> is om het sociaal domein geen aparte status meer te geven. Daarnaast was de opbouw in de eerdere programmabegroting</w:t>
      </w:r>
      <w:r w:rsidR="00666AFE">
        <w:t xml:space="preserve"> </w:t>
      </w:r>
      <w:r>
        <w:t xml:space="preserve">niet zo logisch. Dat maakte dat een duiding in de verantwoordingsrapportage een aanvulling was op de verantwoording in de P&amp;C-cyclus. Vanaf 2023 is de programmabegroting in het sociaal domein opgebouwd in duidelijke speerpunten (toegankelijkheid, sociale basis, Wmo, Jeugdwet en uitvoeringslasten). De meerwaarde van de aparte duiding in de verantwoordingsrapportage werd daarom beperkt. </w:t>
      </w:r>
    </w:p>
    <w:p w14:paraId="1DE8777F" w14:textId="442FA133" w:rsidR="0091733F" w:rsidRDefault="4AAD89C4" w:rsidP="216F7159">
      <w:pPr>
        <w:spacing w:line="259" w:lineRule="auto"/>
      </w:pPr>
      <w:r>
        <w:t xml:space="preserve">We willen als organisatie zoveel mogelijk binnen de reguliere P&amp;C cyclus verantwoorden en af van aparte verantwoordingsdocumenten. De verantwoordingsrapportage werd altijd op hetzelfde moment gedeeld als de jaarrekening, namelijk net voor de zomer. Niet alleen kost dit de ambtelijke organisatie veel tijd, ook maakt het </w:t>
      </w:r>
      <w:r w:rsidR="00666AFE">
        <w:t xml:space="preserve">de  presentatie van </w:t>
      </w:r>
      <w:r>
        <w:t>informatie</w:t>
      </w:r>
      <w:r w:rsidR="00666AFE">
        <w:t xml:space="preserve"> in verschillende documenten, die elkaar moet aanvullen minder duidelijk </w:t>
      </w:r>
      <w:r>
        <w:t>. D</w:t>
      </w:r>
      <w:r w:rsidR="00666AFE">
        <w:t>aarom nemen we de informatie nu op i</w:t>
      </w:r>
      <w:r>
        <w:t xml:space="preserve">n de jaarrekening en een bijlage bij het bijbehorende raadsvoorstel. </w:t>
      </w:r>
      <w:r w:rsidR="5F88158D">
        <w:t>Deze bijlage richt zich op</w:t>
      </w:r>
      <w:r>
        <w:t xml:space="preserve"> de </w:t>
      </w:r>
      <w:r w:rsidR="0091733F">
        <w:t>lasten behorende bij de activiteiten</w:t>
      </w:r>
      <w:r w:rsidR="00666AFE">
        <w:t xml:space="preserve"> uit de begroting</w:t>
      </w:r>
      <w:r w:rsidR="0091733F">
        <w:t>:</w:t>
      </w:r>
    </w:p>
    <w:p w14:paraId="757D44D2" w14:textId="67B44971" w:rsidR="0091733F" w:rsidRDefault="0091733F" w:rsidP="0091733F">
      <w:pPr>
        <w:pStyle w:val="Lijstalinea"/>
        <w:numPr>
          <w:ilvl w:val="0"/>
          <w:numId w:val="4"/>
        </w:numPr>
        <w:spacing w:line="259" w:lineRule="auto"/>
      </w:pPr>
      <w:r w:rsidRPr="0091733F">
        <w:t>We bieden onze inwoners maatschappelijke ondersteuning</w:t>
      </w:r>
      <w:r>
        <w:t>;</w:t>
      </w:r>
    </w:p>
    <w:p w14:paraId="61BACC1D" w14:textId="16DD88AA" w:rsidR="0091733F" w:rsidRDefault="0091733F" w:rsidP="0091733F">
      <w:pPr>
        <w:pStyle w:val="Lijstalinea"/>
        <w:numPr>
          <w:ilvl w:val="0"/>
          <w:numId w:val="4"/>
        </w:numPr>
        <w:spacing w:line="259" w:lineRule="auto"/>
      </w:pPr>
      <w:bookmarkStart w:id="0" w:name="_Hlk165993702"/>
      <w:r w:rsidRPr="0091733F">
        <w:t>We bieden onze jonge inwoners en hun ouders/verzorgers jeugdhulp</w:t>
      </w:r>
      <w:bookmarkEnd w:id="0"/>
      <w:r>
        <w:t>.</w:t>
      </w:r>
    </w:p>
    <w:p w14:paraId="6A035F51" w14:textId="53BABCCF" w:rsidR="004A7E0A" w:rsidRPr="0057066A" w:rsidRDefault="004A7E0A" w:rsidP="3FB6F689"/>
    <w:p w14:paraId="2F08FC7F" w14:textId="3F54F291" w:rsidR="00104F34" w:rsidRDefault="00104F34">
      <w:pPr>
        <w:rPr>
          <w:rStyle w:val="Nadruk"/>
          <w:caps w:val="0"/>
          <w:color w:val="808080" w:themeColor="background1" w:themeShade="80"/>
          <w:highlight w:val="green"/>
        </w:rPr>
      </w:pPr>
      <w:bookmarkStart w:id="1" w:name="_Hlk4571160"/>
      <w:r>
        <w:rPr>
          <w:rStyle w:val="Nadruk"/>
          <w:caps w:val="0"/>
          <w:color w:val="808080" w:themeColor="background1" w:themeShade="80"/>
          <w:highlight w:val="green"/>
        </w:rPr>
        <w:br w:type="page"/>
      </w:r>
    </w:p>
    <w:p w14:paraId="44B16838" w14:textId="0142F9C3" w:rsidR="00591730" w:rsidRPr="00E42EBA" w:rsidRDefault="0091733F" w:rsidP="00B0623F">
      <w:pPr>
        <w:spacing w:line="276" w:lineRule="auto"/>
        <w:rPr>
          <w:rStyle w:val="Nadruk"/>
          <w:b/>
          <w:bCs/>
          <w:caps w:val="0"/>
          <w:sz w:val="24"/>
          <w:szCs w:val="32"/>
          <w:u w:val="single"/>
        </w:rPr>
      </w:pPr>
      <w:r>
        <w:rPr>
          <w:rStyle w:val="Nadruk"/>
          <w:b/>
          <w:bCs/>
          <w:caps w:val="0"/>
          <w:color w:val="808080" w:themeColor="background1" w:themeShade="80"/>
          <w:sz w:val="24"/>
          <w:szCs w:val="32"/>
          <w:u w:val="single"/>
        </w:rPr>
        <w:lastRenderedPageBreak/>
        <w:t>We bieden onze inwoners Maatschappelijke Ondersteuning</w:t>
      </w:r>
      <w:r w:rsidR="002B219B">
        <w:rPr>
          <w:rStyle w:val="Nadruk"/>
          <w:b/>
          <w:bCs/>
          <w:caps w:val="0"/>
          <w:color w:val="808080" w:themeColor="background1" w:themeShade="80"/>
          <w:sz w:val="24"/>
          <w:szCs w:val="32"/>
          <w:u w:val="single"/>
        </w:rPr>
        <w:t xml:space="preserve"> (W</w:t>
      </w:r>
      <w:r>
        <w:rPr>
          <w:rStyle w:val="Nadruk"/>
          <w:b/>
          <w:bCs/>
          <w:caps w:val="0"/>
          <w:color w:val="808080" w:themeColor="background1" w:themeShade="80"/>
          <w:sz w:val="24"/>
          <w:szCs w:val="32"/>
          <w:u w:val="single"/>
        </w:rPr>
        <w:t>mo</w:t>
      </w:r>
      <w:r w:rsidR="002B219B">
        <w:rPr>
          <w:rStyle w:val="Nadruk"/>
          <w:b/>
          <w:bCs/>
          <w:caps w:val="0"/>
          <w:color w:val="808080" w:themeColor="background1" w:themeShade="80"/>
          <w:sz w:val="24"/>
          <w:szCs w:val="32"/>
          <w:u w:val="single"/>
        </w:rPr>
        <w:t>)</w:t>
      </w:r>
    </w:p>
    <w:p w14:paraId="64F7F5D9" w14:textId="24251153" w:rsidR="00591730" w:rsidRDefault="00E42EBA" w:rsidP="00B0623F">
      <w:pPr>
        <w:spacing w:line="276" w:lineRule="auto"/>
        <w:rPr>
          <w:u w:val="single"/>
        </w:rPr>
      </w:pPr>
      <w:r w:rsidRPr="00E42EBA">
        <w:t xml:space="preserve">In onderstaande </w:t>
      </w:r>
      <w:r w:rsidR="00591730" w:rsidRPr="00E42EBA">
        <w:t>tabel</w:t>
      </w:r>
      <w:r w:rsidRPr="00E42EBA">
        <w:t xml:space="preserve"> zijn de totale lasten per voorziening in 2022 en 2023 uitgesplitst</w:t>
      </w:r>
      <w:r w:rsidR="0091733F">
        <w:t xml:space="preserve"> waarbij voor 2023 zowel de begroting als de realisatie is opgenomen</w:t>
      </w:r>
      <w:r w:rsidR="00591730" w:rsidRPr="00E42EBA">
        <w:t>.</w:t>
      </w:r>
      <w:r w:rsidR="00591730" w:rsidRPr="00E42EBA">
        <w:rPr>
          <w:u w:val="single"/>
        </w:rPr>
        <w:t xml:space="preserve"> </w:t>
      </w:r>
    </w:p>
    <w:p w14:paraId="545AA057" w14:textId="5D4DD9D7" w:rsidR="0091733F" w:rsidRPr="00E42EBA" w:rsidRDefault="0091733F" w:rsidP="00B0623F">
      <w:pPr>
        <w:spacing w:line="276" w:lineRule="auto"/>
        <w:rPr>
          <w:u w:val="single"/>
        </w:rPr>
      </w:pPr>
    </w:p>
    <w:p w14:paraId="47D13A66" w14:textId="0FF69883" w:rsidR="00E42EBA" w:rsidRPr="00E42EBA" w:rsidRDefault="2943E199" w:rsidP="216F7159">
      <w:pPr>
        <w:spacing w:line="276" w:lineRule="auto"/>
        <w:rPr>
          <w:i/>
          <w:iCs/>
        </w:rPr>
      </w:pPr>
      <w:r w:rsidRPr="216F7159">
        <w:rPr>
          <w:i/>
          <w:iCs/>
        </w:rPr>
        <w:t>Tabel</w:t>
      </w:r>
      <w:r w:rsidR="00591730" w:rsidRPr="216F7159">
        <w:rPr>
          <w:i/>
          <w:iCs/>
        </w:rPr>
        <w:t>.</w:t>
      </w:r>
      <w:r w:rsidR="0091733F" w:rsidRPr="0091733F">
        <w:rPr>
          <w:i/>
          <w:iCs/>
        </w:rPr>
        <w:t xml:space="preserve"> </w:t>
      </w:r>
      <w:r w:rsidR="0091733F" w:rsidRPr="216F7159">
        <w:rPr>
          <w:i/>
          <w:iCs/>
        </w:rPr>
        <w:t>We bieden onze inwoners Maatschappelijke ondersteuning</w:t>
      </w:r>
    </w:p>
    <w:p w14:paraId="67B2FFDC" w14:textId="1B3B86D7" w:rsidR="00FE232C" w:rsidRPr="00E42EBA" w:rsidRDefault="00591730" w:rsidP="00B0623F">
      <w:pPr>
        <w:spacing w:line="276" w:lineRule="auto"/>
        <w:rPr>
          <w:i/>
          <w:iCs/>
        </w:rPr>
      </w:pPr>
      <w:r w:rsidRPr="00E42EBA">
        <w:rPr>
          <w:i/>
          <w:iCs/>
        </w:rPr>
        <w:t>Lasten per voorziening 20</w:t>
      </w:r>
      <w:r w:rsidR="00E0172C" w:rsidRPr="00E42EBA">
        <w:rPr>
          <w:i/>
          <w:iCs/>
        </w:rPr>
        <w:t>2</w:t>
      </w:r>
      <w:r w:rsidR="00484D4D" w:rsidRPr="00E42EBA">
        <w:rPr>
          <w:i/>
          <w:iCs/>
        </w:rPr>
        <w:t>2</w:t>
      </w:r>
      <w:r w:rsidRPr="00E42EBA">
        <w:rPr>
          <w:i/>
          <w:iCs/>
        </w:rPr>
        <w:t xml:space="preserve"> en 20</w:t>
      </w:r>
      <w:r w:rsidR="002E2BEB" w:rsidRPr="00E42EBA">
        <w:rPr>
          <w:i/>
          <w:iCs/>
        </w:rPr>
        <w:t>2</w:t>
      </w:r>
      <w:r w:rsidR="00484D4D" w:rsidRPr="00E42EBA">
        <w:rPr>
          <w:i/>
          <w:iCs/>
        </w:rPr>
        <w:t>3</w:t>
      </w:r>
      <w:r w:rsidR="00E42EBA" w:rsidRPr="00E42EBA">
        <w:rPr>
          <w:i/>
          <w:iCs/>
        </w:rPr>
        <w:t xml:space="preserve"> </w:t>
      </w:r>
      <w:r w:rsidR="00FE232C" w:rsidRPr="00E42EBA">
        <w:rPr>
          <w:i/>
          <w:iCs/>
        </w:rPr>
        <w:t xml:space="preserve">(peildatum </w:t>
      </w:r>
      <w:r w:rsidR="00484D4D" w:rsidRPr="00E42EBA">
        <w:rPr>
          <w:i/>
          <w:iCs/>
        </w:rPr>
        <w:t xml:space="preserve">2 april 2024 </w:t>
      </w:r>
      <w:r w:rsidR="00FE232C" w:rsidRPr="00E42EBA">
        <w:rPr>
          <w:i/>
          <w:iCs/>
        </w:rPr>
        <w:t>x 1.000)</w:t>
      </w:r>
    </w:p>
    <w:tbl>
      <w:tblPr>
        <w:tblW w:w="8504" w:type="dxa"/>
        <w:tblCellMar>
          <w:left w:w="70" w:type="dxa"/>
          <w:right w:w="70" w:type="dxa"/>
        </w:tblCellMar>
        <w:tblLook w:val="04A0" w:firstRow="1" w:lastRow="0" w:firstColumn="1" w:lastColumn="0" w:noHBand="0" w:noVBand="1"/>
      </w:tblPr>
      <w:tblGrid>
        <w:gridCol w:w="4385"/>
        <w:gridCol w:w="1040"/>
        <w:gridCol w:w="1036"/>
        <w:gridCol w:w="1040"/>
        <w:gridCol w:w="1003"/>
      </w:tblGrid>
      <w:tr w:rsidR="005B045E" w:rsidRPr="00E42EBA" w14:paraId="5818A585" w14:textId="77777777" w:rsidTr="3FB6F689">
        <w:trPr>
          <w:trHeight w:val="372"/>
        </w:trPr>
        <w:tc>
          <w:tcPr>
            <w:tcW w:w="4385" w:type="dxa"/>
            <w:tcBorders>
              <w:top w:val="single" w:sz="8" w:space="0" w:color="auto"/>
              <w:left w:val="single" w:sz="8" w:space="0" w:color="auto"/>
              <w:bottom w:val="single" w:sz="8" w:space="0" w:color="auto"/>
              <w:right w:val="nil"/>
            </w:tcBorders>
            <w:shd w:val="clear" w:color="auto" w:fill="D9D9D9" w:themeFill="background1" w:themeFillShade="D9"/>
            <w:noWrap/>
            <w:vAlign w:val="center"/>
            <w:hideMark/>
          </w:tcPr>
          <w:p w14:paraId="261C823C" w14:textId="77777777" w:rsidR="009625F2" w:rsidRPr="00E42EBA" w:rsidRDefault="009625F2" w:rsidP="009625F2">
            <w:pPr>
              <w:rPr>
                <w:rFonts w:cs="Calibri"/>
                <w:b/>
                <w:bCs/>
                <w:color w:val="000000"/>
                <w:szCs w:val="21"/>
                <w:lang w:eastAsia="nl-NL"/>
              </w:rPr>
            </w:pPr>
            <w:r w:rsidRPr="00E42EBA">
              <w:rPr>
                <w:rFonts w:cs="Calibri"/>
                <w:b/>
                <w:bCs/>
                <w:color w:val="000000"/>
                <w:szCs w:val="21"/>
                <w:lang w:eastAsia="nl-NL"/>
              </w:rPr>
              <w:t>Soort</w:t>
            </w:r>
          </w:p>
        </w:tc>
        <w:tc>
          <w:tcPr>
            <w:tcW w:w="104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2EBCF0E5" w14:textId="048DD6A4" w:rsidR="009625F2" w:rsidRPr="00E42EBA" w:rsidRDefault="009625F2" w:rsidP="009625F2">
            <w:pPr>
              <w:jc w:val="center"/>
              <w:rPr>
                <w:rFonts w:cs="Calibri"/>
                <w:b/>
                <w:bCs/>
                <w:color w:val="000000"/>
                <w:szCs w:val="21"/>
                <w:lang w:eastAsia="nl-NL"/>
              </w:rPr>
            </w:pPr>
            <w:r w:rsidRPr="00E42EBA">
              <w:rPr>
                <w:rFonts w:cs="Calibri"/>
                <w:b/>
                <w:bCs/>
                <w:color w:val="000000"/>
                <w:szCs w:val="21"/>
                <w:lang w:eastAsia="nl-NL"/>
              </w:rPr>
              <w:t>Realisatie 202</w:t>
            </w:r>
            <w:r w:rsidR="00484D4D" w:rsidRPr="00E42EBA">
              <w:rPr>
                <w:rFonts w:cs="Calibri"/>
                <w:b/>
                <w:bCs/>
                <w:color w:val="000000"/>
                <w:szCs w:val="21"/>
                <w:lang w:eastAsia="nl-NL"/>
              </w:rPr>
              <w:t>2</w:t>
            </w:r>
          </w:p>
        </w:tc>
        <w:tc>
          <w:tcPr>
            <w:tcW w:w="1036"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21724467" w14:textId="75CF0CA0" w:rsidR="009625F2" w:rsidRPr="00E42EBA" w:rsidRDefault="009625F2" w:rsidP="009625F2">
            <w:pPr>
              <w:jc w:val="center"/>
              <w:rPr>
                <w:rFonts w:cs="Calibri"/>
                <w:b/>
                <w:bCs/>
                <w:color w:val="000000"/>
                <w:szCs w:val="21"/>
                <w:lang w:eastAsia="nl-NL"/>
              </w:rPr>
            </w:pPr>
            <w:r w:rsidRPr="00E42EBA">
              <w:rPr>
                <w:rFonts w:cs="Calibri"/>
                <w:b/>
                <w:bCs/>
                <w:color w:val="000000"/>
                <w:szCs w:val="21"/>
                <w:lang w:eastAsia="nl-NL"/>
              </w:rPr>
              <w:t>Begroting 202</w:t>
            </w:r>
            <w:r w:rsidR="00484D4D" w:rsidRPr="00E42EBA">
              <w:rPr>
                <w:rFonts w:cs="Calibri"/>
                <w:b/>
                <w:bCs/>
                <w:color w:val="000000"/>
                <w:szCs w:val="21"/>
                <w:lang w:eastAsia="nl-NL"/>
              </w:rPr>
              <w:t>3</w:t>
            </w:r>
          </w:p>
        </w:tc>
        <w:tc>
          <w:tcPr>
            <w:tcW w:w="10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37B6FAA3" w14:textId="40BAECBF" w:rsidR="009625F2" w:rsidRPr="00E42EBA" w:rsidRDefault="009625F2" w:rsidP="009625F2">
            <w:pPr>
              <w:jc w:val="center"/>
              <w:rPr>
                <w:rFonts w:cs="Calibri"/>
                <w:b/>
                <w:bCs/>
                <w:color w:val="000000"/>
                <w:szCs w:val="21"/>
                <w:lang w:eastAsia="nl-NL"/>
              </w:rPr>
            </w:pPr>
            <w:r w:rsidRPr="00E42EBA">
              <w:rPr>
                <w:rFonts w:cs="Calibri"/>
                <w:b/>
                <w:bCs/>
                <w:color w:val="000000"/>
                <w:szCs w:val="21"/>
                <w:lang w:eastAsia="nl-NL"/>
              </w:rPr>
              <w:t>Realisatie 202</w:t>
            </w:r>
            <w:r w:rsidR="00484D4D" w:rsidRPr="00E42EBA">
              <w:rPr>
                <w:rFonts w:cs="Calibri"/>
                <w:b/>
                <w:bCs/>
                <w:color w:val="000000"/>
                <w:szCs w:val="21"/>
                <w:lang w:eastAsia="nl-NL"/>
              </w:rPr>
              <w:t>3</w:t>
            </w:r>
          </w:p>
        </w:tc>
        <w:tc>
          <w:tcPr>
            <w:tcW w:w="1003"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01BA032E" w14:textId="099452CE" w:rsidR="009625F2" w:rsidRPr="00E42EBA" w:rsidRDefault="009625F2" w:rsidP="009625F2">
            <w:pPr>
              <w:jc w:val="center"/>
              <w:rPr>
                <w:rFonts w:cs="Calibri"/>
                <w:b/>
                <w:bCs/>
                <w:color w:val="000000"/>
                <w:szCs w:val="21"/>
                <w:lang w:eastAsia="nl-NL"/>
              </w:rPr>
            </w:pPr>
            <w:r w:rsidRPr="00E42EBA">
              <w:rPr>
                <w:rFonts w:cs="Calibri"/>
                <w:b/>
                <w:bCs/>
                <w:color w:val="000000"/>
                <w:szCs w:val="21"/>
                <w:lang w:eastAsia="nl-NL"/>
              </w:rPr>
              <w:t>Afwijking 202</w:t>
            </w:r>
            <w:r w:rsidR="00484D4D" w:rsidRPr="00E42EBA">
              <w:rPr>
                <w:rFonts w:cs="Calibri"/>
                <w:b/>
                <w:bCs/>
                <w:color w:val="000000"/>
                <w:szCs w:val="21"/>
                <w:lang w:eastAsia="nl-NL"/>
              </w:rPr>
              <w:t>3</w:t>
            </w:r>
          </w:p>
        </w:tc>
      </w:tr>
      <w:tr w:rsidR="009625F2" w:rsidRPr="003578ED" w14:paraId="05F0964B" w14:textId="77777777" w:rsidTr="3FB6F689">
        <w:trPr>
          <w:trHeight w:val="372"/>
        </w:trPr>
        <w:tc>
          <w:tcPr>
            <w:tcW w:w="4385" w:type="dxa"/>
            <w:tcBorders>
              <w:top w:val="nil"/>
              <w:left w:val="single" w:sz="8" w:space="0" w:color="auto"/>
              <w:bottom w:val="single" w:sz="8" w:space="0" w:color="auto"/>
              <w:right w:val="nil"/>
            </w:tcBorders>
            <w:shd w:val="clear" w:color="auto" w:fill="auto"/>
            <w:noWrap/>
            <w:vAlign w:val="center"/>
            <w:hideMark/>
          </w:tcPr>
          <w:p w14:paraId="4492C6CB" w14:textId="4ECA6557" w:rsidR="009625F2" w:rsidRPr="003578ED" w:rsidRDefault="00E42EBA" w:rsidP="009625F2">
            <w:pPr>
              <w:rPr>
                <w:rFonts w:cs="Calibri"/>
                <w:color w:val="000000"/>
                <w:szCs w:val="21"/>
                <w:lang w:eastAsia="nl-NL"/>
              </w:rPr>
            </w:pPr>
            <w:r w:rsidRPr="003578ED">
              <w:rPr>
                <w:rFonts w:cs="Calibri"/>
                <w:color w:val="000000"/>
                <w:szCs w:val="21"/>
                <w:lang w:eastAsia="nl-NL"/>
              </w:rPr>
              <w:t>Bijdrage Taakstelling</w:t>
            </w:r>
          </w:p>
        </w:tc>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4DE144AB" w14:textId="7E5A54F9" w:rsidR="009625F2" w:rsidRPr="003578ED" w:rsidRDefault="00E42EBA" w:rsidP="009625F2">
            <w:pPr>
              <w:jc w:val="right"/>
              <w:rPr>
                <w:rFonts w:ascii="Calibri" w:hAnsi="Calibri" w:cs="Calibri"/>
                <w:color w:val="000000"/>
                <w:sz w:val="22"/>
                <w:szCs w:val="22"/>
                <w:lang w:eastAsia="nl-NL"/>
              </w:rPr>
            </w:pPr>
            <w:r w:rsidRPr="003578ED">
              <w:rPr>
                <w:rFonts w:ascii="Calibri" w:hAnsi="Calibri" w:cs="Calibri"/>
                <w:color w:val="000000"/>
                <w:sz w:val="22"/>
                <w:szCs w:val="22"/>
                <w:lang w:eastAsia="nl-NL"/>
              </w:rPr>
              <w:t>0</w:t>
            </w:r>
          </w:p>
        </w:tc>
        <w:tc>
          <w:tcPr>
            <w:tcW w:w="1036" w:type="dxa"/>
            <w:tcBorders>
              <w:top w:val="nil"/>
              <w:left w:val="nil"/>
              <w:bottom w:val="single" w:sz="8" w:space="0" w:color="auto"/>
              <w:right w:val="single" w:sz="8" w:space="0" w:color="auto"/>
            </w:tcBorders>
            <w:shd w:val="clear" w:color="auto" w:fill="auto"/>
            <w:noWrap/>
            <w:vAlign w:val="center"/>
            <w:hideMark/>
          </w:tcPr>
          <w:p w14:paraId="561435AD" w14:textId="155593B5" w:rsidR="009625F2" w:rsidRPr="003578ED" w:rsidRDefault="00E42EBA" w:rsidP="009625F2">
            <w:pPr>
              <w:jc w:val="right"/>
              <w:rPr>
                <w:rFonts w:ascii="Calibri" w:hAnsi="Calibri" w:cs="Calibri"/>
                <w:color w:val="000000"/>
                <w:sz w:val="22"/>
                <w:szCs w:val="22"/>
                <w:lang w:eastAsia="nl-NL"/>
              </w:rPr>
            </w:pPr>
            <w:r w:rsidRPr="003578ED">
              <w:rPr>
                <w:rFonts w:ascii="Calibri" w:hAnsi="Calibri" w:cs="Calibri"/>
                <w:color w:val="000000"/>
                <w:sz w:val="22"/>
                <w:szCs w:val="22"/>
                <w:lang w:eastAsia="nl-NL"/>
              </w:rPr>
              <w:t>-889</w:t>
            </w:r>
          </w:p>
        </w:tc>
        <w:tc>
          <w:tcPr>
            <w:tcW w:w="1040" w:type="dxa"/>
            <w:tcBorders>
              <w:top w:val="nil"/>
              <w:left w:val="nil"/>
              <w:bottom w:val="single" w:sz="8" w:space="0" w:color="auto"/>
              <w:right w:val="single" w:sz="8" w:space="0" w:color="auto"/>
            </w:tcBorders>
            <w:shd w:val="clear" w:color="auto" w:fill="auto"/>
            <w:noWrap/>
            <w:vAlign w:val="center"/>
            <w:hideMark/>
          </w:tcPr>
          <w:p w14:paraId="605C1AB8" w14:textId="3CF288B5" w:rsidR="009625F2" w:rsidRPr="003578ED" w:rsidRDefault="00E42EBA" w:rsidP="009625F2">
            <w:pPr>
              <w:jc w:val="right"/>
              <w:rPr>
                <w:rFonts w:ascii="Calibri" w:hAnsi="Calibri" w:cs="Calibri"/>
                <w:color w:val="000000"/>
                <w:sz w:val="22"/>
                <w:szCs w:val="22"/>
                <w:lang w:eastAsia="nl-NL"/>
              </w:rPr>
            </w:pPr>
            <w:r w:rsidRPr="003578ED">
              <w:rPr>
                <w:rFonts w:ascii="Calibri" w:hAnsi="Calibri" w:cs="Calibri"/>
                <w:color w:val="000000"/>
                <w:sz w:val="22"/>
                <w:szCs w:val="22"/>
                <w:lang w:eastAsia="nl-NL"/>
              </w:rPr>
              <w:t>0</w:t>
            </w:r>
          </w:p>
        </w:tc>
        <w:tc>
          <w:tcPr>
            <w:tcW w:w="1003" w:type="dxa"/>
            <w:tcBorders>
              <w:top w:val="nil"/>
              <w:left w:val="nil"/>
              <w:bottom w:val="single" w:sz="8" w:space="0" w:color="auto"/>
              <w:right w:val="single" w:sz="8" w:space="0" w:color="auto"/>
            </w:tcBorders>
            <w:shd w:val="clear" w:color="auto" w:fill="auto"/>
            <w:noWrap/>
            <w:vAlign w:val="center"/>
            <w:hideMark/>
          </w:tcPr>
          <w:p w14:paraId="4879DBC3" w14:textId="6E7002EF" w:rsidR="009625F2" w:rsidRPr="003578ED" w:rsidRDefault="003578ED" w:rsidP="009625F2">
            <w:pPr>
              <w:jc w:val="right"/>
              <w:rPr>
                <w:rFonts w:ascii="Calibri" w:hAnsi="Calibri" w:cs="Calibri"/>
                <w:color w:val="000000"/>
                <w:sz w:val="22"/>
                <w:szCs w:val="22"/>
                <w:lang w:eastAsia="nl-NL"/>
              </w:rPr>
            </w:pPr>
            <w:r w:rsidRPr="003578ED">
              <w:rPr>
                <w:rFonts w:ascii="Calibri" w:hAnsi="Calibri" w:cs="Calibri"/>
                <w:color w:val="000000"/>
                <w:sz w:val="22"/>
                <w:szCs w:val="22"/>
                <w:lang w:eastAsia="nl-NL"/>
              </w:rPr>
              <w:t>-</w:t>
            </w:r>
            <w:r w:rsidR="00E42EBA" w:rsidRPr="003578ED">
              <w:rPr>
                <w:rFonts w:ascii="Calibri" w:hAnsi="Calibri" w:cs="Calibri"/>
                <w:color w:val="000000"/>
                <w:sz w:val="22"/>
                <w:szCs w:val="22"/>
                <w:lang w:eastAsia="nl-NL"/>
              </w:rPr>
              <w:t>889</w:t>
            </w:r>
            <w:r w:rsidR="009625F2" w:rsidRPr="003578ED">
              <w:rPr>
                <w:rFonts w:ascii="Calibri" w:hAnsi="Calibri" w:cs="Calibri"/>
                <w:color w:val="000000"/>
                <w:sz w:val="22"/>
                <w:szCs w:val="22"/>
                <w:lang w:eastAsia="nl-NL"/>
              </w:rPr>
              <w:t xml:space="preserve"> </w:t>
            </w:r>
          </w:p>
        </w:tc>
      </w:tr>
      <w:tr w:rsidR="009625F2" w:rsidRPr="003578ED" w14:paraId="5A106AF6" w14:textId="77777777" w:rsidTr="3FB6F689">
        <w:trPr>
          <w:trHeight w:val="372"/>
        </w:trPr>
        <w:tc>
          <w:tcPr>
            <w:tcW w:w="4385" w:type="dxa"/>
            <w:tcBorders>
              <w:top w:val="nil"/>
              <w:left w:val="single" w:sz="8" w:space="0" w:color="auto"/>
              <w:bottom w:val="single" w:sz="8" w:space="0" w:color="auto"/>
              <w:right w:val="nil"/>
            </w:tcBorders>
            <w:shd w:val="clear" w:color="auto" w:fill="auto"/>
            <w:noWrap/>
            <w:vAlign w:val="center"/>
            <w:hideMark/>
          </w:tcPr>
          <w:p w14:paraId="79C27589" w14:textId="5E05B03A" w:rsidR="009625F2" w:rsidRPr="003578ED" w:rsidRDefault="00E42EBA" w:rsidP="009625F2">
            <w:pPr>
              <w:rPr>
                <w:rFonts w:cs="Calibri"/>
                <w:color w:val="000000"/>
                <w:szCs w:val="21"/>
                <w:lang w:eastAsia="nl-NL"/>
              </w:rPr>
            </w:pPr>
            <w:r w:rsidRPr="003578ED">
              <w:rPr>
                <w:rFonts w:cs="Calibri"/>
                <w:color w:val="000000"/>
                <w:szCs w:val="21"/>
                <w:lang w:eastAsia="nl-NL"/>
              </w:rPr>
              <w:t>Huishoudelijke Verzorging</w:t>
            </w:r>
          </w:p>
        </w:tc>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3424151C" w14:textId="73F02AA8" w:rsidR="009625F2" w:rsidRPr="003578ED" w:rsidRDefault="00E42EBA" w:rsidP="009625F2">
            <w:pPr>
              <w:jc w:val="right"/>
              <w:rPr>
                <w:rFonts w:ascii="Calibri" w:hAnsi="Calibri" w:cs="Calibri"/>
                <w:color w:val="000000"/>
                <w:sz w:val="22"/>
                <w:szCs w:val="22"/>
                <w:lang w:eastAsia="nl-NL"/>
              </w:rPr>
            </w:pPr>
            <w:r w:rsidRPr="003578ED">
              <w:rPr>
                <w:rFonts w:ascii="Calibri" w:hAnsi="Calibri" w:cs="Calibri"/>
                <w:color w:val="000000"/>
                <w:sz w:val="22"/>
                <w:szCs w:val="22"/>
                <w:lang w:eastAsia="nl-NL"/>
              </w:rPr>
              <w:t>5.1</w:t>
            </w:r>
            <w:r w:rsidR="009625F2" w:rsidRPr="003578ED">
              <w:rPr>
                <w:rFonts w:ascii="Calibri" w:hAnsi="Calibri" w:cs="Calibri"/>
                <w:color w:val="000000"/>
                <w:sz w:val="22"/>
                <w:szCs w:val="22"/>
                <w:lang w:eastAsia="nl-NL"/>
              </w:rPr>
              <w:t>35</w:t>
            </w:r>
          </w:p>
        </w:tc>
        <w:tc>
          <w:tcPr>
            <w:tcW w:w="1036" w:type="dxa"/>
            <w:tcBorders>
              <w:top w:val="nil"/>
              <w:left w:val="nil"/>
              <w:bottom w:val="single" w:sz="8" w:space="0" w:color="auto"/>
              <w:right w:val="single" w:sz="8" w:space="0" w:color="auto"/>
            </w:tcBorders>
            <w:shd w:val="clear" w:color="auto" w:fill="auto"/>
            <w:noWrap/>
            <w:vAlign w:val="center"/>
            <w:hideMark/>
          </w:tcPr>
          <w:p w14:paraId="674AB540" w14:textId="34DF0132" w:rsidR="009625F2" w:rsidRPr="003578ED" w:rsidRDefault="009625F2" w:rsidP="009625F2">
            <w:pPr>
              <w:jc w:val="right"/>
              <w:rPr>
                <w:rFonts w:ascii="Calibri" w:hAnsi="Calibri" w:cs="Calibri"/>
                <w:color w:val="000000"/>
                <w:sz w:val="22"/>
                <w:szCs w:val="22"/>
                <w:lang w:eastAsia="nl-NL"/>
              </w:rPr>
            </w:pPr>
            <w:r w:rsidRPr="003578ED">
              <w:rPr>
                <w:rFonts w:ascii="Calibri" w:hAnsi="Calibri" w:cs="Calibri"/>
                <w:color w:val="000000"/>
                <w:sz w:val="22"/>
                <w:szCs w:val="22"/>
                <w:lang w:eastAsia="nl-NL"/>
              </w:rPr>
              <w:t xml:space="preserve">       </w:t>
            </w:r>
            <w:r w:rsidR="00E42EBA" w:rsidRPr="003578ED">
              <w:rPr>
                <w:rFonts w:ascii="Calibri" w:hAnsi="Calibri" w:cs="Calibri"/>
                <w:color w:val="000000"/>
                <w:sz w:val="22"/>
                <w:szCs w:val="22"/>
                <w:lang w:eastAsia="nl-NL"/>
              </w:rPr>
              <w:t>5.465</w:t>
            </w:r>
            <w:r w:rsidRPr="003578ED">
              <w:rPr>
                <w:rFonts w:ascii="Calibri" w:hAnsi="Calibri" w:cs="Calibri"/>
                <w:color w:val="000000"/>
                <w:sz w:val="22"/>
                <w:szCs w:val="22"/>
                <w:lang w:eastAsia="nl-NL"/>
              </w:rPr>
              <w:t xml:space="preserve"> </w:t>
            </w:r>
          </w:p>
        </w:tc>
        <w:tc>
          <w:tcPr>
            <w:tcW w:w="1040" w:type="dxa"/>
            <w:tcBorders>
              <w:top w:val="nil"/>
              <w:left w:val="nil"/>
              <w:bottom w:val="single" w:sz="8" w:space="0" w:color="auto"/>
              <w:right w:val="single" w:sz="8" w:space="0" w:color="auto"/>
            </w:tcBorders>
            <w:shd w:val="clear" w:color="auto" w:fill="auto"/>
            <w:noWrap/>
            <w:vAlign w:val="center"/>
            <w:hideMark/>
          </w:tcPr>
          <w:p w14:paraId="38184F89" w14:textId="4F4661C4" w:rsidR="009625F2" w:rsidRPr="003578ED" w:rsidRDefault="009625F2" w:rsidP="009625F2">
            <w:pPr>
              <w:jc w:val="right"/>
              <w:rPr>
                <w:rFonts w:ascii="Calibri" w:hAnsi="Calibri" w:cs="Calibri"/>
                <w:color w:val="000000"/>
                <w:sz w:val="22"/>
                <w:szCs w:val="22"/>
                <w:lang w:eastAsia="nl-NL"/>
              </w:rPr>
            </w:pPr>
            <w:r w:rsidRPr="003578ED">
              <w:rPr>
                <w:rFonts w:ascii="Calibri" w:hAnsi="Calibri" w:cs="Calibri"/>
                <w:color w:val="000000"/>
                <w:sz w:val="22"/>
                <w:szCs w:val="22"/>
                <w:lang w:eastAsia="nl-NL"/>
              </w:rPr>
              <w:t xml:space="preserve">        </w:t>
            </w:r>
            <w:r w:rsidR="00E42EBA" w:rsidRPr="003578ED">
              <w:rPr>
                <w:rFonts w:ascii="Calibri" w:hAnsi="Calibri" w:cs="Calibri"/>
                <w:color w:val="000000"/>
                <w:sz w:val="22"/>
                <w:szCs w:val="22"/>
                <w:lang w:eastAsia="nl-NL"/>
              </w:rPr>
              <w:t>5.338</w:t>
            </w:r>
            <w:r w:rsidRPr="003578ED">
              <w:rPr>
                <w:rFonts w:ascii="Calibri" w:hAnsi="Calibri" w:cs="Calibri"/>
                <w:color w:val="000000"/>
                <w:sz w:val="22"/>
                <w:szCs w:val="22"/>
                <w:lang w:eastAsia="nl-NL"/>
              </w:rPr>
              <w:t xml:space="preserve"> </w:t>
            </w:r>
          </w:p>
        </w:tc>
        <w:tc>
          <w:tcPr>
            <w:tcW w:w="1003" w:type="dxa"/>
            <w:tcBorders>
              <w:top w:val="nil"/>
              <w:left w:val="nil"/>
              <w:bottom w:val="single" w:sz="8" w:space="0" w:color="auto"/>
              <w:right w:val="single" w:sz="8" w:space="0" w:color="auto"/>
            </w:tcBorders>
            <w:shd w:val="clear" w:color="auto" w:fill="auto"/>
            <w:noWrap/>
            <w:vAlign w:val="center"/>
            <w:hideMark/>
          </w:tcPr>
          <w:p w14:paraId="17B01B34" w14:textId="1964D695" w:rsidR="009625F2" w:rsidRPr="003578ED" w:rsidRDefault="009625F2" w:rsidP="009625F2">
            <w:pPr>
              <w:jc w:val="right"/>
              <w:rPr>
                <w:rFonts w:ascii="Calibri" w:hAnsi="Calibri" w:cs="Calibri"/>
                <w:color w:val="000000"/>
                <w:sz w:val="22"/>
                <w:szCs w:val="22"/>
                <w:lang w:eastAsia="nl-NL"/>
              </w:rPr>
            </w:pPr>
            <w:r w:rsidRPr="003578ED">
              <w:rPr>
                <w:rFonts w:ascii="Calibri" w:hAnsi="Calibri" w:cs="Calibri"/>
                <w:color w:val="000000"/>
                <w:sz w:val="22"/>
                <w:szCs w:val="22"/>
                <w:lang w:eastAsia="nl-NL"/>
              </w:rPr>
              <w:t xml:space="preserve">          1</w:t>
            </w:r>
            <w:r w:rsidR="00E42EBA" w:rsidRPr="003578ED">
              <w:rPr>
                <w:rFonts w:ascii="Calibri" w:hAnsi="Calibri" w:cs="Calibri"/>
                <w:color w:val="000000"/>
                <w:sz w:val="22"/>
                <w:szCs w:val="22"/>
                <w:lang w:eastAsia="nl-NL"/>
              </w:rPr>
              <w:t>2</w:t>
            </w:r>
            <w:r w:rsidRPr="003578ED">
              <w:rPr>
                <w:rFonts w:ascii="Calibri" w:hAnsi="Calibri" w:cs="Calibri"/>
                <w:color w:val="000000"/>
                <w:sz w:val="22"/>
                <w:szCs w:val="22"/>
                <w:lang w:eastAsia="nl-NL"/>
              </w:rPr>
              <w:t xml:space="preserve">7 </w:t>
            </w:r>
          </w:p>
        </w:tc>
      </w:tr>
      <w:tr w:rsidR="009625F2" w:rsidRPr="003578ED" w14:paraId="39217370" w14:textId="77777777" w:rsidTr="3FB6F689">
        <w:trPr>
          <w:trHeight w:val="372"/>
        </w:trPr>
        <w:tc>
          <w:tcPr>
            <w:tcW w:w="4385" w:type="dxa"/>
            <w:tcBorders>
              <w:top w:val="nil"/>
              <w:left w:val="single" w:sz="8" w:space="0" w:color="auto"/>
              <w:bottom w:val="single" w:sz="8" w:space="0" w:color="auto"/>
              <w:right w:val="nil"/>
            </w:tcBorders>
            <w:shd w:val="clear" w:color="auto" w:fill="auto"/>
            <w:noWrap/>
            <w:vAlign w:val="center"/>
            <w:hideMark/>
          </w:tcPr>
          <w:p w14:paraId="42E44DBD" w14:textId="5F889141" w:rsidR="009625F2" w:rsidRPr="003578ED" w:rsidRDefault="00E42EBA" w:rsidP="009625F2">
            <w:pPr>
              <w:rPr>
                <w:rFonts w:cs="Calibri"/>
                <w:color w:val="000000"/>
                <w:szCs w:val="21"/>
                <w:lang w:eastAsia="nl-NL"/>
              </w:rPr>
            </w:pPr>
            <w:r w:rsidRPr="003578ED">
              <w:rPr>
                <w:rFonts w:cs="Calibri"/>
                <w:color w:val="000000"/>
                <w:szCs w:val="21"/>
                <w:lang w:eastAsia="nl-NL"/>
              </w:rPr>
              <w:t>Ondersteuning Thuis</w:t>
            </w:r>
          </w:p>
        </w:tc>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4B87147D" w14:textId="7473378A" w:rsidR="009625F2" w:rsidRPr="003578ED" w:rsidRDefault="00E42EBA" w:rsidP="009625F2">
            <w:pPr>
              <w:jc w:val="right"/>
              <w:rPr>
                <w:rFonts w:ascii="Calibri" w:hAnsi="Calibri" w:cs="Calibri"/>
                <w:color w:val="000000"/>
                <w:sz w:val="22"/>
                <w:szCs w:val="22"/>
                <w:lang w:eastAsia="nl-NL"/>
              </w:rPr>
            </w:pPr>
            <w:r w:rsidRPr="003578ED">
              <w:rPr>
                <w:rFonts w:ascii="Calibri" w:hAnsi="Calibri" w:cs="Calibri"/>
                <w:color w:val="000000"/>
                <w:sz w:val="22"/>
                <w:szCs w:val="22"/>
                <w:lang w:eastAsia="nl-NL"/>
              </w:rPr>
              <w:t>37</w:t>
            </w:r>
          </w:p>
        </w:tc>
        <w:tc>
          <w:tcPr>
            <w:tcW w:w="1036" w:type="dxa"/>
            <w:tcBorders>
              <w:top w:val="nil"/>
              <w:left w:val="nil"/>
              <w:bottom w:val="single" w:sz="8" w:space="0" w:color="auto"/>
              <w:right w:val="single" w:sz="8" w:space="0" w:color="auto"/>
            </w:tcBorders>
            <w:shd w:val="clear" w:color="auto" w:fill="auto"/>
            <w:noWrap/>
            <w:vAlign w:val="center"/>
            <w:hideMark/>
          </w:tcPr>
          <w:p w14:paraId="1829EE88" w14:textId="4AC54893" w:rsidR="009625F2" w:rsidRPr="003578ED" w:rsidRDefault="00E42EBA" w:rsidP="009625F2">
            <w:pPr>
              <w:jc w:val="right"/>
              <w:rPr>
                <w:rFonts w:ascii="Calibri" w:hAnsi="Calibri" w:cs="Calibri"/>
                <w:color w:val="000000"/>
                <w:sz w:val="22"/>
                <w:szCs w:val="22"/>
                <w:lang w:eastAsia="nl-NL"/>
              </w:rPr>
            </w:pPr>
            <w:r w:rsidRPr="003578ED">
              <w:rPr>
                <w:rFonts w:ascii="Calibri" w:hAnsi="Calibri" w:cs="Calibri"/>
                <w:color w:val="000000"/>
                <w:sz w:val="22"/>
                <w:szCs w:val="22"/>
                <w:lang w:eastAsia="nl-NL"/>
              </w:rPr>
              <w:t>0</w:t>
            </w:r>
          </w:p>
        </w:tc>
        <w:tc>
          <w:tcPr>
            <w:tcW w:w="1040" w:type="dxa"/>
            <w:tcBorders>
              <w:top w:val="nil"/>
              <w:left w:val="nil"/>
              <w:bottom w:val="single" w:sz="8" w:space="0" w:color="auto"/>
              <w:right w:val="single" w:sz="8" w:space="0" w:color="auto"/>
            </w:tcBorders>
            <w:shd w:val="clear" w:color="auto" w:fill="auto"/>
            <w:noWrap/>
            <w:vAlign w:val="center"/>
            <w:hideMark/>
          </w:tcPr>
          <w:p w14:paraId="1BB09932" w14:textId="1F6108E0" w:rsidR="009625F2" w:rsidRPr="003578ED" w:rsidRDefault="00E42EBA" w:rsidP="009625F2">
            <w:pPr>
              <w:jc w:val="right"/>
              <w:rPr>
                <w:rFonts w:ascii="Calibri" w:hAnsi="Calibri" w:cs="Calibri"/>
                <w:color w:val="000000"/>
                <w:sz w:val="22"/>
                <w:szCs w:val="22"/>
                <w:lang w:eastAsia="nl-NL"/>
              </w:rPr>
            </w:pPr>
            <w:r w:rsidRPr="003578ED">
              <w:rPr>
                <w:rFonts w:ascii="Calibri" w:hAnsi="Calibri" w:cs="Calibri"/>
                <w:color w:val="000000"/>
                <w:sz w:val="22"/>
                <w:szCs w:val="22"/>
                <w:lang w:eastAsia="nl-NL"/>
              </w:rPr>
              <w:t>10</w:t>
            </w:r>
          </w:p>
        </w:tc>
        <w:tc>
          <w:tcPr>
            <w:tcW w:w="1003" w:type="dxa"/>
            <w:tcBorders>
              <w:top w:val="nil"/>
              <w:left w:val="nil"/>
              <w:bottom w:val="single" w:sz="8" w:space="0" w:color="auto"/>
              <w:right w:val="single" w:sz="8" w:space="0" w:color="auto"/>
            </w:tcBorders>
            <w:shd w:val="clear" w:color="auto" w:fill="auto"/>
            <w:noWrap/>
            <w:vAlign w:val="center"/>
            <w:hideMark/>
          </w:tcPr>
          <w:p w14:paraId="60F1D912" w14:textId="24716B1B" w:rsidR="009625F2" w:rsidRPr="003578ED" w:rsidRDefault="00E42EBA" w:rsidP="009625F2">
            <w:pPr>
              <w:jc w:val="right"/>
              <w:rPr>
                <w:rFonts w:ascii="Calibri" w:hAnsi="Calibri" w:cs="Calibri"/>
                <w:color w:val="000000"/>
                <w:sz w:val="22"/>
                <w:szCs w:val="22"/>
                <w:lang w:eastAsia="nl-NL"/>
              </w:rPr>
            </w:pPr>
            <w:r w:rsidRPr="003578ED">
              <w:rPr>
                <w:rFonts w:ascii="Calibri" w:hAnsi="Calibri" w:cs="Calibri"/>
                <w:color w:val="000000"/>
                <w:sz w:val="22"/>
                <w:szCs w:val="22"/>
                <w:lang w:eastAsia="nl-NL"/>
              </w:rPr>
              <w:t>-10</w:t>
            </w:r>
          </w:p>
        </w:tc>
      </w:tr>
      <w:tr w:rsidR="009625F2" w:rsidRPr="003578ED" w14:paraId="21223FF2" w14:textId="77777777" w:rsidTr="3FB6F689">
        <w:trPr>
          <w:trHeight w:val="372"/>
        </w:trPr>
        <w:tc>
          <w:tcPr>
            <w:tcW w:w="4385" w:type="dxa"/>
            <w:tcBorders>
              <w:top w:val="nil"/>
              <w:left w:val="single" w:sz="8" w:space="0" w:color="auto"/>
              <w:bottom w:val="single" w:sz="8" w:space="0" w:color="auto"/>
              <w:right w:val="nil"/>
            </w:tcBorders>
            <w:shd w:val="clear" w:color="auto" w:fill="auto"/>
            <w:noWrap/>
            <w:vAlign w:val="center"/>
            <w:hideMark/>
          </w:tcPr>
          <w:p w14:paraId="535658BE" w14:textId="4A42864B" w:rsidR="009625F2" w:rsidRPr="003578ED" w:rsidRDefault="00E42EBA" w:rsidP="3FB6F689">
            <w:pPr>
              <w:rPr>
                <w:rFonts w:cs="Calibri"/>
                <w:color w:val="000000"/>
                <w:lang w:eastAsia="nl-NL"/>
              </w:rPr>
            </w:pPr>
            <w:r w:rsidRPr="3FB6F689">
              <w:rPr>
                <w:rFonts w:cs="Calibri"/>
                <w:lang w:eastAsia="nl-NL"/>
              </w:rPr>
              <w:t>Herstelgerichte Ondersteuning</w:t>
            </w:r>
          </w:p>
        </w:tc>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32974EAF" w14:textId="77777777" w:rsidR="009625F2" w:rsidRPr="003578ED" w:rsidRDefault="009625F2" w:rsidP="009625F2">
            <w:pPr>
              <w:jc w:val="right"/>
              <w:rPr>
                <w:rFonts w:ascii="Calibri" w:hAnsi="Calibri" w:cs="Calibri"/>
                <w:color w:val="000000"/>
                <w:sz w:val="22"/>
                <w:szCs w:val="22"/>
                <w:lang w:eastAsia="nl-NL"/>
              </w:rPr>
            </w:pPr>
            <w:r w:rsidRPr="003578ED">
              <w:rPr>
                <w:rFonts w:ascii="Calibri" w:hAnsi="Calibri" w:cs="Calibri"/>
                <w:color w:val="000000"/>
                <w:sz w:val="22"/>
                <w:szCs w:val="22"/>
                <w:lang w:eastAsia="nl-NL"/>
              </w:rPr>
              <w:t>0</w:t>
            </w:r>
          </w:p>
        </w:tc>
        <w:tc>
          <w:tcPr>
            <w:tcW w:w="1036" w:type="dxa"/>
            <w:tcBorders>
              <w:top w:val="nil"/>
              <w:left w:val="nil"/>
              <w:bottom w:val="single" w:sz="8" w:space="0" w:color="auto"/>
              <w:right w:val="single" w:sz="8" w:space="0" w:color="auto"/>
            </w:tcBorders>
            <w:shd w:val="clear" w:color="auto" w:fill="auto"/>
            <w:noWrap/>
            <w:vAlign w:val="center"/>
            <w:hideMark/>
          </w:tcPr>
          <w:p w14:paraId="71B26B5C" w14:textId="62D00698" w:rsidR="009625F2" w:rsidRPr="003578ED" w:rsidRDefault="003578ED" w:rsidP="009625F2">
            <w:pPr>
              <w:jc w:val="right"/>
              <w:rPr>
                <w:rFonts w:ascii="Calibri" w:hAnsi="Calibri" w:cs="Calibri"/>
                <w:color w:val="000000"/>
                <w:sz w:val="22"/>
                <w:szCs w:val="22"/>
                <w:lang w:eastAsia="nl-NL"/>
              </w:rPr>
            </w:pPr>
            <w:r w:rsidRPr="003578ED">
              <w:rPr>
                <w:rFonts w:ascii="Calibri" w:hAnsi="Calibri" w:cs="Calibri"/>
                <w:color w:val="000000"/>
                <w:sz w:val="22"/>
                <w:szCs w:val="22"/>
                <w:lang w:eastAsia="nl-NL"/>
              </w:rPr>
              <w:t>100</w:t>
            </w:r>
          </w:p>
        </w:tc>
        <w:tc>
          <w:tcPr>
            <w:tcW w:w="1040" w:type="dxa"/>
            <w:tcBorders>
              <w:top w:val="nil"/>
              <w:left w:val="nil"/>
              <w:bottom w:val="single" w:sz="8" w:space="0" w:color="auto"/>
              <w:right w:val="single" w:sz="8" w:space="0" w:color="auto"/>
            </w:tcBorders>
            <w:shd w:val="clear" w:color="auto" w:fill="auto"/>
            <w:noWrap/>
            <w:vAlign w:val="center"/>
            <w:hideMark/>
          </w:tcPr>
          <w:p w14:paraId="64CD95D1" w14:textId="211C01C0" w:rsidR="009625F2" w:rsidRPr="003578ED" w:rsidRDefault="003578ED" w:rsidP="009625F2">
            <w:pPr>
              <w:jc w:val="right"/>
              <w:rPr>
                <w:rFonts w:ascii="Calibri" w:hAnsi="Calibri" w:cs="Calibri"/>
                <w:color w:val="000000"/>
                <w:sz w:val="22"/>
                <w:szCs w:val="22"/>
                <w:lang w:eastAsia="nl-NL"/>
              </w:rPr>
            </w:pPr>
            <w:r w:rsidRPr="003578ED">
              <w:rPr>
                <w:rFonts w:ascii="Calibri" w:hAnsi="Calibri" w:cs="Calibri"/>
                <w:color w:val="000000"/>
                <w:sz w:val="22"/>
                <w:szCs w:val="22"/>
                <w:lang w:eastAsia="nl-NL"/>
              </w:rPr>
              <w:t>48</w:t>
            </w:r>
          </w:p>
        </w:tc>
        <w:tc>
          <w:tcPr>
            <w:tcW w:w="1003" w:type="dxa"/>
            <w:tcBorders>
              <w:top w:val="nil"/>
              <w:left w:val="nil"/>
              <w:bottom w:val="single" w:sz="8" w:space="0" w:color="auto"/>
              <w:right w:val="single" w:sz="8" w:space="0" w:color="auto"/>
            </w:tcBorders>
            <w:shd w:val="clear" w:color="auto" w:fill="auto"/>
            <w:noWrap/>
            <w:vAlign w:val="center"/>
            <w:hideMark/>
          </w:tcPr>
          <w:p w14:paraId="3DF95442" w14:textId="172480DB" w:rsidR="009625F2" w:rsidRPr="003578ED" w:rsidRDefault="750A3A6D" w:rsidP="009625F2">
            <w:pPr>
              <w:jc w:val="right"/>
              <w:rPr>
                <w:rFonts w:ascii="Calibri" w:hAnsi="Calibri" w:cs="Calibri"/>
                <w:color w:val="000000"/>
                <w:sz w:val="22"/>
                <w:szCs w:val="22"/>
                <w:lang w:eastAsia="nl-NL"/>
              </w:rPr>
            </w:pPr>
            <w:r w:rsidRPr="3FB6F689">
              <w:rPr>
                <w:rFonts w:ascii="Calibri" w:hAnsi="Calibri" w:cs="Calibri"/>
                <w:sz w:val="22"/>
                <w:szCs w:val="22"/>
                <w:lang w:eastAsia="nl-NL"/>
              </w:rPr>
              <w:t>52</w:t>
            </w:r>
          </w:p>
        </w:tc>
      </w:tr>
      <w:tr w:rsidR="009625F2" w:rsidRPr="00093622" w14:paraId="76394188" w14:textId="77777777" w:rsidTr="3FB6F689">
        <w:trPr>
          <w:trHeight w:val="372"/>
        </w:trPr>
        <w:tc>
          <w:tcPr>
            <w:tcW w:w="4385" w:type="dxa"/>
            <w:tcBorders>
              <w:top w:val="nil"/>
              <w:left w:val="single" w:sz="8" w:space="0" w:color="auto"/>
              <w:bottom w:val="single" w:sz="8" w:space="0" w:color="auto"/>
              <w:right w:val="nil"/>
            </w:tcBorders>
            <w:shd w:val="clear" w:color="auto" w:fill="auto"/>
            <w:noWrap/>
            <w:vAlign w:val="center"/>
            <w:hideMark/>
          </w:tcPr>
          <w:p w14:paraId="39FBE3D5" w14:textId="71494330" w:rsidR="009625F2" w:rsidRPr="00093622" w:rsidRDefault="003578ED" w:rsidP="009625F2">
            <w:pPr>
              <w:rPr>
                <w:rFonts w:cs="Calibri"/>
                <w:color w:val="000000"/>
                <w:szCs w:val="21"/>
                <w:lang w:eastAsia="nl-NL"/>
              </w:rPr>
            </w:pPr>
            <w:r w:rsidRPr="00093622">
              <w:rPr>
                <w:rFonts w:cs="Calibri"/>
                <w:color w:val="000000"/>
                <w:szCs w:val="21"/>
                <w:lang w:eastAsia="nl-NL"/>
              </w:rPr>
              <w:t>Begeleiding</w:t>
            </w:r>
          </w:p>
        </w:tc>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0F602FB5" w14:textId="2E2DD0A0" w:rsidR="009625F2" w:rsidRPr="00093622" w:rsidRDefault="003578ED" w:rsidP="009625F2">
            <w:pPr>
              <w:jc w:val="right"/>
              <w:rPr>
                <w:rFonts w:ascii="Calibri" w:hAnsi="Calibri" w:cs="Calibri"/>
                <w:color w:val="000000"/>
                <w:sz w:val="22"/>
                <w:szCs w:val="22"/>
                <w:lang w:eastAsia="nl-NL"/>
              </w:rPr>
            </w:pPr>
            <w:r w:rsidRPr="00093622">
              <w:rPr>
                <w:rFonts w:ascii="Calibri" w:hAnsi="Calibri" w:cs="Calibri"/>
                <w:color w:val="000000"/>
                <w:sz w:val="22"/>
                <w:szCs w:val="22"/>
                <w:lang w:eastAsia="nl-NL"/>
              </w:rPr>
              <w:t>2.8</w:t>
            </w:r>
            <w:r w:rsidR="0023005C">
              <w:rPr>
                <w:rFonts w:ascii="Calibri" w:hAnsi="Calibri" w:cs="Calibri"/>
                <w:color w:val="000000"/>
                <w:sz w:val="22"/>
                <w:szCs w:val="22"/>
                <w:lang w:eastAsia="nl-NL"/>
              </w:rPr>
              <w:t>81</w:t>
            </w:r>
          </w:p>
        </w:tc>
        <w:tc>
          <w:tcPr>
            <w:tcW w:w="1036" w:type="dxa"/>
            <w:tcBorders>
              <w:top w:val="nil"/>
              <w:left w:val="nil"/>
              <w:bottom w:val="single" w:sz="8" w:space="0" w:color="auto"/>
              <w:right w:val="single" w:sz="8" w:space="0" w:color="auto"/>
            </w:tcBorders>
            <w:shd w:val="clear" w:color="auto" w:fill="auto"/>
            <w:noWrap/>
            <w:vAlign w:val="center"/>
            <w:hideMark/>
          </w:tcPr>
          <w:p w14:paraId="7812F79C" w14:textId="771F88ED" w:rsidR="009625F2" w:rsidRPr="00093622" w:rsidRDefault="003578ED" w:rsidP="009625F2">
            <w:pPr>
              <w:jc w:val="right"/>
              <w:rPr>
                <w:rFonts w:ascii="Calibri" w:hAnsi="Calibri" w:cs="Calibri"/>
                <w:color w:val="000000"/>
                <w:sz w:val="22"/>
                <w:szCs w:val="22"/>
                <w:lang w:eastAsia="nl-NL"/>
              </w:rPr>
            </w:pPr>
            <w:r w:rsidRPr="00093622">
              <w:rPr>
                <w:rFonts w:ascii="Calibri" w:hAnsi="Calibri" w:cs="Calibri"/>
                <w:color w:val="000000"/>
                <w:sz w:val="22"/>
                <w:szCs w:val="22"/>
                <w:lang w:eastAsia="nl-NL"/>
              </w:rPr>
              <w:t>0</w:t>
            </w:r>
          </w:p>
        </w:tc>
        <w:tc>
          <w:tcPr>
            <w:tcW w:w="1040" w:type="dxa"/>
            <w:tcBorders>
              <w:top w:val="nil"/>
              <w:left w:val="nil"/>
              <w:bottom w:val="single" w:sz="8" w:space="0" w:color="auto"/>
              <w:right w:val="single" w:sz="8" w:space="0" w:color="auto"/>
            </w:tcBorders>
            <w:shd w:val="clear" w:color="auto" w:fill="auto"/>
            <w:noWrap/>
            <w:vAlign w:val="center"/>
            <w:hideMark/>
          </w:tcPr>
          <w:p w14:paraId="0AB2191B" w14:textId="2EC79F2C" w:rsidR="009625F2" w:rsidRPr="00093622" w:rsidRDefault="003578ED" w:rsidP="009625F2">
            <w:pPr>
              <w:jc w:val="right"/>
              <w:rPr>
                <w:rFonts w:ascii="Calibri" w:hAnsi="Calibri" w:cs="Calibri"/>
                <w:color w:val="000000"/>
                <w:sz w:val="22"/>
                <w:szCs w:val="22"/>
                <w:lang w:eastAsia="nl-NL"/>
              </w:rPr>
            </w:pPr>
            <w:r w:rsidRPr="00093622">
              <w:rPr>
                <w:rFonts w:ascii="Calibri" w:hAnsi="Calibri" w:cs="Calibri"/>
                <w:color w:val="000000"/>
                <w:sz w:val="22"/>
                <w:szCs w:val="22"/>
                <w:lang w:eastAsia="nl-NL"/>
              </w:rPr>
              <w:t>253</w:t>
            </w:r>
          </w:p>
        </w:tc>
        <w:tc>
          <w:tcPr>
            <w:tcW w:w="1003" w:type="dxa"/>
            <w:tcBorders>
              <w:top w:val="nil"/>
              <w:left w:val="nil"/>
              <w:bottom w:val="single" w:sz="8" w:space="0" w:color="auto"/>
              <w:right w:val="single" w:sz="8" w:space="0" w:color="auto"/>
            </w:tcBorders>
            <w:shd w:val="clear" w:color="auto" w:fill="auto"/>
            <w:noWrap/>
            <w:vAlign w:val="center"/>
            <w:hideMark/>
          </w:tcPr>
          <w:p w14:paraId="6D79D6FB" w14:textId="1344269A" w:rsidR="009625F2" w:rsidRPr="00093622" w:rsidRDefault="003578ED" w:rsidP="009625F2">
            <w:pPr>
              <w:jc w:val="right"/>
              <w:rPr>
                <w:rFonts w:ascii="Calibri" w:hAnsi="Calibri" w:cs="Calibri"/>
                <w:color w:val="000000"/>
                <w:sz w:val="22"/>
                <w:szCs w:val="22"/>
                <w:lang w:eastAsia="nl-NL"/>
              </w:rPr>
            </w:pPr>
            <w:r w:rsidRPr="00093622">
              <w:rPr>
                <w:rFonts w:ascii="Calibri" w:hAnsi="Calibri" w:cs="Calibri"/>
                <w:color w:val="000000"/>
                <w:sz w:val="22"/>
                <w:szCs w:val="22"/>
                <w:lang w:eastAsia="nl-NL"/>
              </w:rPr>
              <w:t>-253</w:t>
            </w:r>
          </w:p>
        </w:tc>
      </w:tr>
      <w:tr w:rsidR="009625F2" w:rsidRPr="00093622" w14:paraId="6C05451A" w14:textId="77777777" w:rsidTr="3FB6F689">
        <w:trPr>
          <w:trHeight w:val="372"/>
        </w:trPr>
        <w:tc>
          <w:tcPr>
            <w:tcW w:w="4385" w:type="dxa"/>
            <w:tcBorders>
              <w:top w:val="nil"/>
              <w:left w:val="single" w:sz="8" w:space="0" w:color="auto"/>
              <w:bottom w:val="single" w:sz="8" w:space="0" w:color="auto"/>
              <w:right w:val="nil"/>
            </w:tcBorders>
            <w:shd w:val="clear" w:color="auto" w:fill="auto"/>
            <w:noWrap/>
            <w:vAlign w:val="center"/>
            <w:hideMark/>
          </w:tcPr>
          <w:p w14:paraId="0D940368" w14:textId="115C1261" w:rsidR="009625F2" w:rsidRPr="00093622" w:rsidRDefault="003578ED" w:rsidP="009625F2">
            <w:pPr>
              <w:rPr>
                <w:rFonts w:cs="Calibri"/>
                <w:color w:val="000000"/>
                <w:szCs w:val="21"/>
                <w:lang w:eastAsia="nl-NL"/>
              </w:rPr>
            </w:pPr>
            <w:r w:rsidRPr="00093622">
              <w:rPr>
                <w:rFonts w:cs="Calibri"/>
                <w:color w:val="000000"/>
                <w:szCs w:val="21"/>
                <w:lang w:eastAsia="nl-NL"/>
              </w:rPr>
              <w:t>Arbeidsmatige Dagbesteding</w:t>
            </w:r>
          </w:p>
        </w:tc>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02537025" w14:textId="007BB0D1" w:rsidR="009625F2" w:rsidRPr="00093622" w:rsidRDefault="003578ED" w:rsidP="009625F2">
            <w:pPr>
              <w:jc w:val="right"/>
              <w:rPr>
                <w:rFonts w:ascii="Calibri" w:hAnsi="Calibri" w:cs="Calibri"/>
                <w:color w:val="000000"/>
                <w:sz w:val="22"/>
                <w:szCs w:val="22"/>
                <w:lang w:eastAsia="nl-NL"/>
              </w:rPr>
            </w:pPr>
            <w:r w:rsidRPr="00093622">
              <w:rPr>
                <w:rFonts w:ascii="Calibri" w:hAnsi="Calibri" w:cs="Calibri"/>
                <w:color w:val="000000"/>
                <w:sz w:val="22"/>
                <w:szCs w:val="22"/>
                <w:lang w:eastAsia="nl-NL"/>
              </w:rPr>
              <w:t>0</w:t>
            </w:r>
          </w:p>
        </w:tc>
        <w:tc>
          <w:tcPr>
            <w:tcW w:w="1036" w:type="dxa"/>
            <w:tcBorders>
              <w:top w:val="nil"/>
              <w:left w:val="nil"/>
              <w:bottom w:val="single" w:sz="8" w:space="0" w:color="auto"/>
              <w:right w:val="single" w:sz="8" w:space="0" w:color="auto"/>
            </w:tcBorders>
            <w:shd w:val="clear" w:color="auto" w:fill="auto"/>
            <w:noWrap/>
            <w:vAlign w:val="center"/>
            <w:hideMark/>
          </w:tcPr>
          <w:p w14:paraId="5601FA3B" w14:textId="1AC91E40" w:rsidR="009625F2" w:rsidRPr="00093622" w:rsidRDefault="003578ED" w:rsidP="009625F2">
            <w:pPr>
              <w:jc w:val="right"/>
              <w:rPr>
                <w:rFonts w:ascii="Calibri" w:hAnsi="Calibri" w:cs="Calibri"/>
                <w:color w:val="000000"/>
                <w:sz w:val="22"/>
                <w:szCs w:val="22"/>
                <w:lang w:eastAsia="nl-NL"/>
              </w:rPr>
            </w:pPr>
            <w:r w:rsidRPr="00093622">
              <w:rPr>
                <w:rFonts w:ascii="Calibri" w:hAnsi="Calibri" w:cs="Calibri"/>
                <w:color w:val="000000"/>
                <w:sz w:val="22"/>
                <w:szCs w:val="22"/>
                <w:lang w:eastAsia="nl-NL"/>
              </w:rPr>
              <w:t>47</w:t>
            </w:r>
          </w:p>
        </w:tc>
        <w:tc>
          <w:tcPr>
            <w:tcW w:w="1040" w:type="dxa"/>
            <w:tcBorders>
              <w:top w:val="nil"/>
              <w:left w:val="nil"/>
              <w:bottom w:val="single" w:sz="8" w:space="0" w:color="auto"/>
              <w:right w:val="single" w:sz="8" w:space="0" w:color="auto"/>
            </w:tcBorders>
            <w:shd w:val="clear" w:color="auto" w:fill="auto"/>
            <w:noWrap/>
            <w:vAlign w:val="center"/>
            <w:hideMark/>
          </w:tcPr>
          <w:p w14:paraId="24E98B85" w14:textId="32831728" w:rsidR="009625F2" w:rsidRPr="00093622" w:rsidRDefault="003578ED" w:rsidP="009625F2">
            <w:pPr>
              <w:jc w:val="right"/>
              <w:rPr>
                <w:rFonts w:ascii="Calibri" w:hAnsi="Calibri" w:cs="Calibri"/>
                <w:color w:val="000000"/>
                <w:sz w:val="22"/>
                <w:szCs w:val="22"/>
                <w:lang w:eastAsia="nl-NL"/>
              </w:rPr>
            </w:pPr>
            <w:r w:rsidRPr="00093622">
              <w:rPr>
                <w:rFonts w:ascii="Calibri" w:hAnsi="Calibri" w:cs="Calibri"/>
                <w:color w:val="000000"/>
                <w:sz w:val="22"/>
                <w:szCs w:val="22"/>
                <w:lang w:eastAsia="nl-NL"/>
              </w:rPr>
              <w:t>0</w:t>
            </w:r>
          </w:p>
        </w:tc>
        <w:tc>
          <w:tcPr>
            <w:tcW w:w="1003" w:type="dxa"/>
            <w:tcBorders>
              <w:top w:val="nil"/>
              <w:left w:val="nil"/>
              <w:bottom w:val="single" w:sz="8" w:space="0" w:color="auto"/>
              <w:right w:val="single" w:sz="8" w:space="0" w:color="auto"/>
            </w:tcBorders>
            <w:shd w:val="clear" w:color="auto" w:fill="auto"/>
            <w:noWrap/>
            <w:vAlign w:val="center"/>
            <w:hideMark/>
          </w:tcPr>
          <w:p w14:paraId="2E9A2EE1" w14:textId="0D0F649A" w:rsidR="009625F2" w:rsidRPr="00093622" w:rsidRDefault="003578ED" w:rsidP="009625F2">
            <w:pPr>
              <w:jc w:val="right"/>
              <w:rPr>
                <w:rFonts w:ascii="Calibri" w:hAnsi="Calibri" w:cs="Calibri"/>
                <w:color w:val="000000"/>
                <w:sz w:val="22"/>
                <w:szCs w:val="22"/>
                <w:lang w:eastAsia="nl-NL"/>
              </w:rPr>
            </w:pPr>
            <w:r w:rsidRPr="00093622">
              <w:rPr>
                <w:rFonts w:ascii="Calibri" w:hAnsi="Calibri" w:cs="Calibri"/>
                <w:color w:val="000000"/>
                <w:sz w:val="22"/>
                <w:szCs w:val="22"/>
                <w:lang w:eastAsia="nl-NL"/>
              </w:rPr>
              <w:t>47</w:t>
            </w:r>
          </w:p>
        </w:tc>
      </w:tr>
      <w:tr w:rsidR="009625F2" w:rsidRPr="00093622" w14:paraId="4B5757F8" w14:textId="77777777" w:rsidTr="3FB6F689">
        <w:trPr>
          <w:trHeight w:val="372"/>
        </w:trPr>
        <w:tc>
          <w:tcPr>
            <w:tcW w:w="4385" w:type="dxa"/>
            <w:tcBorders>
              <w:top w:val="nil"/>
              <w:left w:val="single" w:sz="8" w:space="0" w:color="auto"/>
              <w:bottom w:val="single" w:sz="8" w:space="0" w:color="auto"/>
              <w:right w:val="nil"/>
            </w:tcBorders>
            <w:shd w:val="clear" w:color="auto" w:fill="auto"/>
            <w:noWrap/>
            <w:vAlign w:val="center"/>
            <w:hideMark/>
          </w:tcPr>
          <w:p w14:paraId="2138EEB5" w14:textId="73EDD5FC" w:rsidR="009625F2" w:rsidRPr="00093622" w:rsidRDefault="003578ED" w:rsidP="009625F2">
            <w:pPr>
              <w:rPr>
                <w:rFonts w:cs="Calibri"/>
                <w:color w:val="000000"/>
                <w:szCs w:val="21"/>
                <w:lang w:eastAsia="nl-NL"/>
              </w:rPr>
            </w:pPr>
            <w:r w:rsidRPr="00093622">
              <w:rPr>
                <w:rFonts w:cs="Calibri"/>
                <w:color w:val="000000"/>
                <w:szCs w:val="21"/>
                <w:lang w:eastAsia="nl-NL"/>
              </w:rPr>
              <w:t>Implementatie Herstelgerichte Ondersteuning</w:t>
            </w:r>
          </w:p>
        </w:tc>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202A5DC3" w14:textId="315A4B45" w:rsidR="009625F2" w:rsidRPr="00093622" w:rsidRDefault="0023005C" w:rsidP="009625F2">
            <w:pPr>
              <w:jc w:val="right"/>
              <w:rPr>
                <w:rFonts w:ascii="Calibri" w:hAnsi="Calibri" w:cs="Calibri"/>
                <w:color w:val="000000"/>
                <w:sz w:val="22"/>
                <w:szCs w:val="22"/>
                <w:lang w:eastAsia="nl-NL"/>
              </w:rPr>
            </w:pPr>
            <w:r>
              <w:rPr>
                <w:rFonts w:ascii="Calibri" w:hAnsi="Calibri" w:cs="Calibri"/>
                <w:color w:val="000000"/>
                <w:sz w:val="22"/>
                <w:szCs w:val="22"/>
                <w:lang w:eastAsia="nl-NL"/>
              </w:rPr>
              <w:t>35</w:t>
            </w:r>
          </w:p>
        </w:tc>
        <w:tc>
          <w:tcPr>
            <w:tcW w:w="1036" w:type="dxa"/>
            <w:tcBorders>
              <w:top w:val="nil"/>
              <w:left w:val="nil"/>
              <w:bottom w:val="single" w:sz="8" w:space="0" w:color="auto"/>
              <w:right w:val="single" w:sz="8" w:space="0" w:color="auto"/>
            </w:tcBorders>
            <w:shd w:val="clear" w:color="auto" w:fill="auto"/>
            <w:noWrap/>
            <w:vAlign w:val="center"/>
            <w:hideMark/>
          </w:tcPr>
          <w:p w14:paraId="145BCAAC" w14:textId="0C786C47" w:rsidR="009625F2" w:rsidRPr="00093622" w:rsidRDefault="003578ED" w:rsidP="009625F2">
            <w:pPr>
              <w:jc w:val="right"/>
              <w:rPr>
                <w:rFonts w:ascii="Calibri" w:hAnsi="Calibri" w:cs="Calibri"/>
                <w:color w:val="000000"/>
                <w:sz w:val="22"/>
                <w:szCs w:val="22"/>
                <w:lang w:eastAsia="nl-NL"/>
              </w:rPr>
            </w:pPr>
            <w:r w:rsidRPr="00093622">
              <w:rPr>
                <w:rFonts w:ascii="Calibri" w:hAnsi="Calibri" w:cs="Calibri"/>
                <w:color w:val="000000"/>
                <w:sz w:val="22"/>
                <w:szCs w:val="22"/>
                <w:lang w:eastAsia="nl-NL"/>
              </w:rPr>
              <w:t>0</w:t>
            </w:r>
          </w:p>
        </w:tc>
        <w:tc>
          <w:tcPr>
            <w:tcW w:w="1040" w:type="dxa"/>
            <w:tcBorders>
              <w:top w:val="nil"/>
              <w:left w:val="nil"/>
              <w:bottom w:val="single" w:sz="8" w:space="0" w:color="auto"/>
              <w:right w:val="single" w:sz="8" w:space="0" w:color="auto"/>
            </w:tcBorders>
            <w:shd w:val="clear" w:color="auto" w:fill="auto"/>
            <w:noWrap/>
            <w:vAlign w:val="center"/>
            <w:hideMark/>
          </w:tcPr>
          <w:p w14:paraId="207AF13E" w14:textId="243B0E86" w:rsidR="009625F2" w:rsidRPr="00093622" w:rsidRDefault="003578ED" w:rsidP="009625F2">
            <w:pPr>
              <w:jc w:val="right"/>
              <w:rPr>
                <w:rFonts w:ascii="Calibri" w:hAnsi="Calibri" w:cs="Calibri"/>
                <w:color w:val="000000"/>
                <w:sz w:val="22"/>
                <w:szCs w:val="22"/>
                <w:lang w:eastAsia="nl-NL"/>
              </w:rPr>
            </w:pPr>
            <w:r w:rsidRPr="00093622">
              <w:rPr>
                <w:rFonts w:ascii="Calibri" w:hAnsi="Calibri" w:cs="Calibri"/>
                <w:color w:val="000000"/>
                <w:sz w:val="22"/>
                <w:szCs w:val="22"/>
                <w:lang w:eastAsia="nl-NL"/>
              </w:rPr>
              <w:t>1</w:t>
            </w:r>
          </w:p>
        </w:tc>
        <w:tc>
          <w:tcPr>
            <w:tcW w:w="1003" w:type="dxa"/>
            <w:tcBorders>
              <w:top w:val="nil"/>
              <w:left w:val="nil"/>
              <w:bottom w:val="single" w:sz="8" w:space="0" w:color="auto"/>
              <w:right w:val="single" w:sz="8" w:space="0" w:color="auto"/>
            </w:tcBorders>
            <w:shd w:val="clear" w:color="auto" w:fill="auto"/>
            <w:noWrap/>
            <w:vAlign w:val="center"/>
            <w:hideMark/>
          </w:tcPr>
          <w:p w14:paraId="27859950" w14:textId="37EC70B8" w:rsidR="009625F2" w:rsidRPr="00093622" w:rsidRDefault="003578ED" w:rsidP="009625F2">
            <w:pPr>
              <w:jc w:val="right"/>
              <w:rPr>
                <w:rFonts w:ascii="Calibri" w:hAnsi="Calibri" w:cs="Calibri"/>
                <w:color w:val="000000"/>
                <w:sz w:val="22"/>
                <w:szCs w:val="22"/>
                <w:lang w:eastAsia="nl-NL"/>
              </w:rPr>
            </w:pPr>
            <w:r w:rsidRPr="00093622">
              <w:rPr>
                <w:rFonts w:ascii="Calibri" w:hAnsi="Calibri" w:cs="Calibri"/>
                <w:color w:val="000000"/>
                <w:sz w:val="22"/>
                <w:szCs w:val="22"/>
                <w:lang w:eastAsia="nl-NL"/>
              </w:rPr>
              <w:t>-1</w:t>
            </w:r>
          </w:p>
        </w:tc>
      </w:tr>
      <w:tr w:rsidR="009625F2" w:rsidRPr="00093622" w14:paraId="401132AF" w14:textId="77777777" w:rsidTr="3FB6F689">
        <w:trPr>
          <w:trHeight w:val="433"/>
        </w:trPr>
        <w:tc>
          <w:tcPr>
            <w:tcW w:w="4385" w:type="dxa"/>
            <w:tcBorders>
              <w:top w:val="nil"/>
              <w:left w:val="single" w:sz="8" w:space="0" w:color="auto"/>
              <w:bottom w:val="single" w:sz="8" w:space="0" w:color="auto"/>
              <w:right w:val="nil"/>
            </w:tcBorders>
            <w:shd w:val="clear" w:color="auto" w:fill="auto"/>
            <w:noWrap/>
            <w:vAlign w:val="center"/>
            <w:hideMark/>
          </w:tcPr>
          <w:p w14:paraId="70D6B0FD" w14:textId="45C55DF4" w:rsidR="009625F2" w:rsidRPr="00093622" w:rsidRDefault="003578ED" w:rsidP="009625F2">
            <w:pPr>
              <w:rPr>
                <w:rFonts w:cs="Calibri"/>
                <w:color w:val="000000"/>
                <w:szCs w:val="21"/>
                <w:lang w:eastAsia="nl-NL"/>
              </w:rPr>
            </w:pPr>
            <w:r w:rsidRPr="00093622">
              <w:rPr>
                <w:rFonts w:cs="Calibri"/>
                <w:color w:val="000000"/>
                <w:szCs w:val="21"/>
                <w:lang w:eastAsia="nl-NL"/>
              </w:rPr>
              <w:t>Vervoersvoorzieningen</w:t>
            </w:r>
          </w:p>
        </w:tc>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7750C953" w14:textId="724A71D4" w:rsidR="009625F2" w:rsidRPr="00093622" w:rsidRDefault="00093622" w:rsidP="009625F2">
            <w:pPr>
              <w:jc w:val="right"/>
              <w:rPr>
                <w:rFonts w:ascii="Calibri" w:hAnsi="Calibri" w:cs="Calibri"/>
                <w:color w:val="000000"/>
                <w:sz w:val="22"/>
                <w:szCs w:val="22"/>
                <w:lang w:eastAsia="nl-NL"/>
              </w:rPr>
            </w:pPr>
            <w:r w:rsidRPr="00093622">
              <w:rPr>
                <w:rFonts w:ascii="Calibri" w:hAnsi="Calibri" w:cs="Calibri"/>
                <w:color w:val="000000"/>
                <w:sz w:val="22"/>
                <w:szCs w:val="22"/>
                <w:lang w:eastAsia="nl-NL"/>
              </w:rPr>
              <w:t>394</w:t>
            </w:r>
          </w:p>
        </w:tc>
        <w:tc>
          <w:tcPr>
            <w:tcW w:w="1036" w:type="dxa"/>
            <w:tcBorders>
              <w:top w:val="nil"/>
              <w:left w:val="nil"/>
              <w:bottom w:val="single" w:sz="8" w:space="0" w:color="auto"/>
              <w:right w:val="single" w:sz="8" w:space="0" w:color="auto"/>
            </w:tcBorders>
            <w:shd w:val="clear" w:color="auto" w:fill="auto"/>
            <w:noWrap/>
            <w:vAlign w:val="center"/>
            <w:hideMark/>
          </w:tcPr>
          <w:p w14:paraId="71487940" w14:textId="66B11D06" w:rsidR="009625F2" w:rsidRPr="00093622" w:rsidRDefault="00093622" w:rsidP="009625F2">
            <w:pPr>
              <w:jc w:val="right"/>
              <w:rPr>
                <w:rFonts w:ascii="Calibri" w:hAnsi="Calibri" w:cs="Calibri"/>
                <w:color w:val="000000"/>
                <w:sz w:val="22"/>
                <w:szCs w:val="22"/>
                <w:lang w:eastAsia="nl-NL"/>
              </w:rPr>
            </w:pPr>
            <w:r w:rsidRPr="00093622">
              <w:rPr>
                <w:rFonts w:ascii="Calibri" w:hAnsi="Calibri" w:cs="Calibri"/>
                <w:color w:val="000000"/>
                <w:sz w:val="22"/>
                <w:szCs w:val="22"/>
                <w:lang w:eastAsia="nl-NL"/>
              </w:rPr>
              <w:t>463</w:t>
            </w:r>
          </w:p>
        </w:tc>
        <w:tc>
          <w:tcPr>
            <w:tcW w:w="1040" w:type="dxa"/>
            <w:tcBorders>
              <w:top w:val="nil"/>
              <w:left w:val="nil"/>
              <w:bottom w:val="single" w:sz="8" w:space="0" w:color="auto"/>
              <w:right w:val="single" w:sz="8" w:space="0" w:color="auto"/>
            </w:tcBorders>
            <w:shd w:val="clear" w:color="auto" w:fill="auto"/>
            <w:noWrap/>
            <w:vAlign w:val="center"/>
            <w:hideMark/>
          </w:tcPr>
          <w:p w14:paraId="04606F16" w14:textId="016E1266" w:rsidR="009625F2" w:rsidRPr="00093622" w:rsidRDefault="00093622" w:rsidP="009625F2">
            <w:pPr>
              <w:jc w:val="right"/>
              <w:rPr>
                <w:rFonts w:ascii="Calibri" w:hAnsi="Calibri" w:cs="Calibri"/>
                <w:color w:val="000000"/>
                <w:sz w:val="22"/>
                <w:szCs w:val="22"/>
                <w:lang w:eastAsia="nl-NL"/>
              </w:rPr>
            </w:pPr>
            <w:r w:rsidRPr="00093622">
              <w:rPr>
                <w:rFonts w:ascii="Calibri" w:hAnsi="Calibri" w:cs="Calibri"/>
                <w:color w:val="000000"/>
                <w:sz w:val="22"/>
                <w:szCs w:val="22"/>
                <w:lang w:eastAsia="nl-NL"/>
              </w:rPr>
              <w:t>578</w:t>
            </w:r>
          </w:p>
        </w:tc>
        <w:tc>
          <w:tcPr>
            <w:tcW w:w="1003" w:type="dxa"/>
            <w:tcBorders>
              <w:top w:val="nil"/>
              <w:left w:val="nil"/>
              <w:bottom w:val="single" w:sz="8" w:space="0" w:color="auto"/>
              <w:right w:val="single" w:sz="8" w:space="0" w:color="auto"/>
            </w:tcBorders>
            <w:shd w:val="clear" w:color="auto" w:fill="auto"/>
            <w:noWrap/>
            <w:vAlign w:val="center"/>
            <w:hideMark/>
          </w:tcPr>
          <w:p w14:paraId="02924296" w14:textId="61165219" w:rsidR="009625F2" w:rsidRPr="00093622" w:rsidRDefault="00093622" w:rsidP="009625F2">
            <w:pPr>
              <w:jc w:val="right"/>
              <w:rPr>
                <w:rFonts w:ascii="Calibri" w:hAnsi="Calibri" w:cs="Calibri"/>
                <w:color w:val="000000"/>
                <w:sz w:val="22"/>
                <w:szCs w:val="22"/>
                <w:lang w:eastAsia="nl-NL"/>
              </w:rPr>
            </w:pPr>
            <w:r w:rsidRPr="00093622">
              <w:rPr>
                <w:rFonts w:ascii="Calibri" w:hAnsi="Calibri" w:cs="Calibri"/>
                <w:color w:val="000000"/>
                <w:sz w:val="22"/>
                <w:szCs w:val="22"/>
                <w:lang w:eastAsia="nl-NL"/>
              </w:rPr>
              <w:t>-115</w:t>
            </w:r>
          </w:p>
        </w:tc>
      </w:tr>
      <w:tr w:rsidR="009625F2" w:rsidRPr="00464D0F" w14:paraId="78975C09" w14:textId="77777777" w:rsidTr="3FB6F689">
        <w:trPr>
          <w:trHeight w:val="372"/>
        </w:trPr>
        <w:tc>
          <w:tcPr>
            <w:tcW w:w="4385" w:type="dxa"/>
            <w:tcBorders>
              <w:top w:val="nil"/>
              <w:left w:val="single" w:sz="8" w:space="0" w:color="auto"/>
              <w:bottom w:val="single" w:sz="8" w:space="0" w:color="auto"/>
              <w:right w:val="nil"/>
            </w:tcBorders>
            <w:shd w:val="clear" w:color="auto" w:fill="auto"/>
            <w:noWrap/>
            <w:vAlign w:val="center"/>
            <w:hideMark/>
          </w:tcPr>
          <w:p w14:paraId="6ED23446" w14:textId="6AEB1A9E" w:rsidR="009625F2" w:rsidRPr="00464D0F" w:rsidRDefault="00093622" w:rsidP="009625F2">
            <w:pPr>
              <w:rPr>
                <w:rFonts w:cs="Calibri"/>
                <w:color w:val="000000"/>
                <w:szCs w:val="21"/>
                <w:lang w:eastAsia="nl-NL"/>
              </w:rPr>
            </w:pPr>
            <w:r w:rsidRPr="00464D0F">
              <w:rPr>
                <w:rFonts w:cs="Calibri"/>
                <w:color w:val="000000"/>
                <w:szCs w:val="21"/>
                <w:lang w:eastAsia="nl-NL"/>
              </w:rPr>
              <w:t>Rolstoelen</w:t>
            </w:r>
          </w:p>
        </w:tc>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112C43F7" w14:textId="3C8118AD" w:rsidR="009625F2" w:rsidRPr="00464D0F" w:rsidRDefault="00093622" w:rsidP="009625F2">
            <w:pPr>
              <w:jc w:val="right"/>
              <w:rPr>
                <w:rFonts w:ascii="Calibri" w:hAnsi="Calibri" w:cs="Calibri"/>
                <w:color w:val="000000"/>
                <w:sz w:val="22"/>
                <w:szCs w:val="22"/>
                <w:lang w:eastAsia="nl-NL"/>
              </w:rPr>
            </w:pPr>
            <w:r w:rsidRPr="00464D0F">
              <w:rPr>
                <w:rFonts w:ascii="Calibri" w:hAnsi="Calibri" w:cs="Calibri"/>
                <w:color w:val="000000"/>
                <w:sz w:val="22"/>
                <w:szCs w:val="22"/>
                <w:lang w:eastAsia="nl-NL"/>
              </w:rPr>
              <w:t>149</w:t>
            </w:r>
          </w:p>
        </w:tc>
        <w:tc>
          <w:tcPr>
            <w:tcW w:w="1036" w:type="dxa"/>
            <w:tcBorders>
              <w:top w:val="nil"/>
              <w:left w:val="nil"/>
              <w:bottom w:val="single" w:sz="8" w:space="0" w:color="auto"/>
              <w:right w:val="single" w:sz="8" w:space="0" w:color="auto"/>
            </w:tcBorders>
            <w:shd w:val="clear" w:color="auto" w:fill="auto"/>
            <w:noWrap/>
            <w:vAlign w:val="center"/>
            <w:hideMark/>
          </w:tcPr>
          <w:p w14:paraId="6A3808CF" w14:textId="5CAE3553" w:rsidR="009625F2" w:rsidRPr="00464D0F" w:rsidRDefault="00093622" w:rsidP="009625F2">
            <w:pPr>
              <w:jc w:val="right"/>
              <w:rPr>
                <w:rFonts w:ascii="Calibri" w:hAnsi="Calibri" w:cs="Calibri"/>
                <w:color w:val="000000"/>
                <w:sz w:val="22"/>
                <w:szCs w:val="22"/>
                <w:lang w:eastAsia="nl-NL"/>
              </w:rPr>
            </w:pPr>
            <w:r w:rsidRPr="00464D0F">
              <w:rPr>
                <w:rFonts w:ascii="Calibri" w:hAnsi="Calibri" w:cs="Calibri"/>
                <w:color w:val="000000"/>
                <w:sz w:val="22"/>
                <w:szCs w:val="22"/>
                <w:lang w:eastAsia="nl-NL"/>
              </w:rPr>
              <w:t>239</w:t>
            </w:r>
          </w:p>
        </w:tc>
        <w:tc>
          <w:tcPr>
            <w:tcW w:w="1040" w:type="dxa"/>
            <w:tcBorders>
              <w:top w:val="nil"/>
              <w:left w:val="nil"/>
              <w:bottom w:val="single" w:sz="8" w:space="0" w:color="auto"/>
              <w:right w:val="single" w:sz="8" w:space="0" w:color="auto"/>
            </w:tcBorders>
            <w:shd w:val="clear" w:color="auto" w:fill="auto"/>
            <w:noWrap/>
            <w:vAlign w:val="center"/>
            <w:hideMark/>
          </w:tcPr>
          <w:p w14:paraId="02B6E23E" w14:textId="174E14DA" w:rsidR="009625F2" w:rsidRPr="00464D0F" w:rsidRDefault="00093622" w:rsidP="009625F2">
            <w:pPr>
              <w:jc w:val="right"/>
              <w:rPr>
                <w:rFonts w:ascii="Calibri" w:hAnsi="Calibri" w:cs="Calibri"/>
                <w:color w:val="000000"/>
                <w:sz w:val="22"/>
                <w:szCs w:val="22"/>
                <w:lang w:eastAsia="nl-NL"/>
              </w:rPr>
            </w:pPr>
            <w:r w:rsidRPr="00464D0F">
              <w:rPr>
                <w:rFonts w:ascii="Calibri" w:hAnsi="Calibri" w:cs="Calibri"/>
                <w:color w:val="000000"/>
                <w:sz w:val="22"/>
                <w:szCs w:val="22"/>
                <w:lang w:eastAsia="nl-NL"/>
              </w:rPr>
              <w:t>154</w:t>
            </w:r>
          </w:p>
        </w:tc>
        <w:tc>
          <w:tcPr>
            <w:tcW w:w="1003" w:type="dxa"/>
            <w:tcBorders>
              <w:top w:val="nil"/>
              <w:left w:val="nil"/>
              <w:bottom w:val="single" w:sz="8" w:space="0" w:color="auto"/>
              <w:right w:val="single" w:sz="8" w:space="0" w:color="auto"/>
            </w:tcBorders>
            <w:shd w:val="clear" w:color="auto" w:fill="auto"/>
            <w:noWrap/>
            <w:vAlign w:val="center"/>
            <w:hideMark/>
          </w:tcPr>
          <w:p w14:paraId="3D120D5C" w14:textId="4F1F215B" w:rsidR="009625F2" w:rsidRPr="00464D0F" w:rsidRDefault="00093622" w:rsidP="009625F2">
            <w:pPr>
              <w:jc w:val="right"/>
              <w:rPr>
                <w:rFonts w:ascii="Calibri" w:hAnsi="Calibri" w:cs="Calibri"/>
                <w:color w:val="000000"/>
                <w:sz w:val="22"/>
                <w:szCs w:val="22"/>
                <w:lang w:eastAsia="nl-NL"/>
              </w:rPr>
            </w:pPr>
            <w:r w:rsidRPr="00464D0F">
              <w:rPr>
                <w:rFonts w:ascii="Calibri" w:hAnsi="Calibri" w:cs="Calibri"/>
                <w:color w:val="000000"/>
                <w:sz w:val="22"/>
                <w:szCs w:val="22"/>
                <w:lang w:eastAsia="nl-NL"/>
              </w:rPr>
              <w:t>84</w:t>
            </w:r>
          </w:p>
        </w:tc>
      </w:tr>
      <w:tr w:rsidR="009625F2" w:rsidRPr="00464D0F" w14:paraId="2F062558" w14:textId="77777777" w:rsidTr="3FB6F689">
        <w:trPr>
          <w:trHeight w:val="372"/>
        </w:trPr>
        <w:tc>
          <w:tcPr>
            <w:tcW w:w="4385" w:type="dxa"/>
            <w:tcBorders>
              <w:top w:val="nil"/>
              <w:left w:val="single" w:sz="8" w:space="0" w:color="auto"/>
              <w:bottom w:val="single" w:sz="8" w:space="0" w:color="auto"/>
              <w:right w:val="nil"/>
            </w:tcBorders>
            <w:shd w:val="clear" w:color="auto" w:fill="auto"/>
            <w:noWrap/>
            <w:vAlign w:val="center"/>
            <w:hideMark/>
          </w:tcPr>
          <w:p w14:paraId="61B2BF67" w14:textId="06EF9DBB" w:rsidR="009625F2" w:rsidRPr="00464D0F" w:rsidRDefault="001F4C83" w:rsidP="009625F2">
            <w:pPr>
              <w:rPr>
                <w:rFonts w:cs="Calibri"/>
                <w:color w:val="000000"/>
                <w:szCs w:val="21"/>
                <w:lang w:eastAsia="nl-NL"/>
              </w:rPr>
            </w:pPr>
            <w:r w:rsidRPr="00464D0F">
              <w:rPr>
                <w:rFonts w:cs="Calibri"/>
                <w:color w:val="000000"/>
                <w:szCs w:val="21"/>
                <w:lang w:eastAsia="nl-NL"/>
              </w:rPr>
              <w:t>Woonvoorzieningen</w:t>
            </w:r>
          </w:p>
        </w:tc>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2165AF42" w14:textId="6A16B20C" w:rsidR="009625F2" w:rsidRPr="00464D0F" w:rsidRDefault="001F4C83" w:rsidP="009625F2">
            <w:pPr>
              <w:jc w:val="right"/>
              <w:rPr>
                <w:rFonts w:ascii="Calibri" w:hAnsi="Calibri" w:cs="Calibri"/>
                <w:color w:val="000000"/>
                <w:sz w:val="22"/>
                <w:szCs w:val="22"/>
                <w:lang w:eastAsia="nl-NL"/>
              </w:rPr>
            </w:pPr>
            <w:r w:rsidRPr="00464D0F">
              <w:rPr>
                <w:rFonts w:ascii="Calibri" w:hAnsi="Calibri" w:cs="Calibri"/>
                <w:color w:val="000000"/>
                <w:sz w:val="22"/>
                <w:szCs w:val="22"/>
                <w:lang w:eastAsia="nl-NL"/>
              </w:rPr>
              <w:t>687</w:t>
            </w:r>
          </w:p>
        </w:tc>
        <w:tc>
          <w:tcPr>
            <w:tcW w:w="1036" w:type="dxa"/>
            <w:tcBorders>
              <w:top w:val="nil"/>
              <w:left w:val="nil"/>
              <w:bottom w:val="single" w:sz="8" w:space="0" w:color="auto"/>
              <w:right w:val="single" w:sz="8" w:space="0" w:color="auto"/>
            </w:tcBorders>
            <w:shd w:val="clear" w:color="auto" w:fill="auto"/>
            <w:noWrap/>
            <w:vAlign w:val="center"/>
            <w:hideMark/>
          </w:tcPr>
          <w:p w14:paraId="55012C79" w14:textId="28762ED0" w:rsidR="009625F2" w:rsidRPr="00464D0F" w:rsidRDefault="001F4C83" w:rsidP="009625F2">
            <w:pPr>
              <w:jc w:val="right"/>
              <w:rPr>
                <w:rFonts w:ascii="Calibri" w:hAnsi="Calibri" w:cs="Calibri"/>
                <w:color w:val="000000"/>
                <w:sz w:val="22"/>
                <w:szCs w:val="22"/>
                <w:lang w:eastAsia="nl-NL"/>
              </w:rPr>
            </w:pPr>
            <w:r w:rsidRPr="00464D0F">
              <w:rPr>
                <w:rFonts w:ascii="Calibri" w:hAnsi="Calibri" w:cs="Calibri"/>
                <w:color w:val="000000"/>
                <w:sz w:val="22"/>
                <w:szCs w:val="22"/>
                <w:lang w:eastAsia="nl-NL"/>
              </w:rPr>
              <w:t>484</w:t>
            </w:r>
          </w:p>
        </w:tc>
        <w:tc>
          <w:tcPr>
            <w:tcW w:w="1040" w:type="dxa"/>
            <w:tcBorders>
              <w:top w:val="nil"/>
              <w:left w:val="nil"/>
              <w:bottom w:val="single" w:sz="8" w:space="0" w:color="auto"/>
              <w:right w:val="single" w:sz="8" w:space="0" w:color="auto"/>
            </w:tcBorders>
            <w:shd w:val="clear" w:color="auto" w:fill="auto"/>
            <w:noWrap/>
            <w:vAlign w:val="center"/>
            <w:hideMark/>
          </w:tcPr>
          <w:p w14:paraId="29141253" w14:textId="15AB79AA" w:rsidR="009625F2" w:rsidRPr="00464D0F" w:rsidRDefault="001F4C83" w:rsidP="009625F2">
            <w:pPr>
              <w:jc w:val="right"/>
              <w:rPr>
                <w:rFonts w:ascii="Calibri" w:hAnsi="Calibri" w:cs="Calibri"/>
                <w:color w:val="000000"/>
                <w:sz w:val="22"/>
                <w:szCs w:val="22"/>
                <w:lang w:eastAsia="nl-NL"/>
              </w:rPr>
            </w:pPr>
            <w:r w:rsidRPr="00464D0F">
              <w:rPr>
                <w:rFonts w:ascii="Calibri" w:hAnsi="Calibri" w:cs="Calibri"/>
                <w:color w:val="000000"/>
                <w:sz w:val="22"/>
                <w:szCs w:val="22"/>
                <w:lang w:eastAsia="nl-NL"/>
              </w:rPr>
              <w:t>335</w:t>
            </w:r>
          </w:p>
        </w:tc>
        <w:tc>
          <w:tcPr>
            <w:tcW w:w="1003" w:type="dxa"/>
            <w:tcBorders>
              <w:top w:val="nil"/>
              <w:left w:val="nil"/>
              <w:bottom w:val="single" w:sz="8" w:space="0" w:color="auto"/>
              <w:right w:val="single" w:sz="8" w:space="0" w:color="auto"/>
            </w:tcBorders>
            <w:shd w:val="clear" w:color="auto" w:fill="auto"/>
            <w:noWrap/>
            <w:vAlign w:val="center"/>
            <w:hideMark/>
          </w:tcPr>
          <w:p w14:paraId="020FB101" w14:textId="76820B1C" w:rsidR="009625F2" w:rsidRPr="00464D0F" w:rsidRDefault="001F4C83" w:rsidP="009625F2">
            <w:pPr>
              <w:jc w:val="right"/>
              <w:rPr>
                <w:rFonts w:ascii="Calibri" w:hAnsi="Calibri" w:cs="Calibri"/>
                <w:color w:val="000000"/>
                <w:sz w:val="22"/>
                <w:szCs w:val="22"/>
                <w:lang w:eastAsia="nl-NL"/>
              </w:rPr>
            </w:pPr>
            <w:r w:rsidRPr="00464D0F">
              <w:rPr>
                <w:rFonts w:ascii="Calibri" w:hAnsi="Calibri" w:cs="Calibri"/>
                <w:color w:val="000000"/>
                <w:sz w:val="22"/>
                <w:szCs w:val="22"/>
                <w:lang w:eastAsia="nl-NL"/>
              </w:rPr>
              <w:t>149</w:t>
            </w:r>
          </w:p>
        </w:tc>
      </w:tr>
      <w:tr w:rsidR="009625F2" w:rsidRPr="0023005C" w14:paraId="19F1C670" w14:textId="77777777" w:rsidTr="3FB6F689">
        <w:trPr>
          <w:trHeight w:val="372"/>
        </w:trPr>
        <w:tc>
          <w:tcPr>
            <w:tcW w:w="4385" w:type="dxa"/>
            <w:tcBorders>
              <w:top w:val="nil"/>
              <w:left w:val="single" w:sz="8" w:space="0" w:color="auto"/>
              <w:bottom w:val="single" w:sz="8" w:space="0" w:color="auto"/>
              <w:right w:val="nil"/>
            </w:tcBorders>
            <w:shd w:val="clear" w:color="auto" w:fill="auto"/>
            <w:noWrap/>
            <w:vAlign w:val="center"/>
            <w:hideMark/>
          </w:tcPr>
          <w:p w14:paraId="19D35A5E" w14:textId="1BED374B" w:rsidR="009625F2" w:rsidRPr="0023005C" w:rsidRDefault="001F4C83" w:rsidP="009625F2">
            <w:pPr>
              <w:rPr>
                <w:rFonts w:cs="Calibri"/>
                <w:color w:val="000000"/>
                <w:szCs w:val="21"/>
                <w:lang w:eastAsia="nl-NL"/>
              </w:rPr>
            </w:pPr>
            <w:r w:rsidRPr="0023005C">
              <w:rPr>
                <w:rFonts w:cs="Calibri"/>
                <w:color w:val="000000"/>
                <w:szCs w:val="21"/>
                <w:lang w:eastAsia="nl-NL"/>
              </w:rPr>
              <w:t>Onderhoud</w:t>
            </w:r>
          </w:p>
        </w:tc>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5C3E97DF" w14:textId="640BCE80" w:rsidR="009625F2" w:rsidRPr="0023005C" w:rsidRDefault="00464D0F" w:rsidP="009625F2">
            <w:pPr>
              <w:jc w:val="right"/>
              <w:rPr>
                <w:rFonts w:ascii="Calibri" w:hAnsi="Calibri" w:cs="Calibri"/>
                <w:color w:val="000000"/>
                <w:sz w:val="22"/>
                <w:szCs w:val="22"/>
                <w:lang w:eastAsia="nl-NL"/>
              </w:rPr>
            </w:pPr>
            <w:r w:rsidRPr="0023005C">
              <w:rPr>
                <w:rFonts w:ascii="Calibri" w:hAnsi="Calibri" w:cs="Calibri"/>
                <w:color w:val="000000"/>
                <w:sz w:val="22"/>
                <w:szCs w:val="22"/>
                <w:lang w:eastAsia="nl-NL"/>
              </w:rPr>
              <w:t>90</w:t>
            </w:r>
          </w:p>
        </w:tc>
        <w:tc>
          <w:tcPr>
            <w:tcW w:w="1036" w:type="dxa"/>
            <w:tcBorders>
              <w:top w:val="nil"/>
              <w:left w:val="nil"/>
              <w:bottom w:val="single" w:sz="8" w:space="0" w:color="auto"/>
              <w:right w:val="single" w:sz="8" w:space="0" w:color="auto"/>
            </w:tcBorders>
            <w:shd w:val="clear" w:color="auto" w:fill="auto"/>
            <w:noWrap/>
            <w:vAlign w:val="center"/>
            <w:hideMark/>
          </w:tcPr>
          <w:p w14:paraId="68552A0A" w14:textId="69D33CD3" w:rsidR="009625F2" w:rsidRPr="0023005C" w:rsidRDefault="00464D0F" w:rsidP="009625F2">
            <w:pPr>
              <w:jc w:val="right"/>
              <w:rPr>
                <w:rFonts w:ascii="Calibri" w:hAnsi="Calibri" w:cs="Calibri"/>
                <w:color w:val="000000"/>
                <w:sz w:val="22"/>
                <w:szCs w:val="22"/>
                <w:lang w:eastAsia="nl-NL"/>
              </w:rPr>
            </w:pPr>
            <w:r w:rsidRPr="0023005C">
              <w:rPr>
                <w:rFonts w:ascii="Calibri" w:hAnsi="Calibri" w:cs="Calibri"/>
                <w:color w:val="000000"/>
                <w:sz w:val="22"/>
                <w:szCs w:val="22"/>
                <w:lang w:eastAsia="nl-NL"/>
              </w:rPr>
              <w:t>103</w:t>
            </w:r>
            <w:r w:rsidR="009625F2" w:rsidRPr="0023005C">
              <w:rPr>
                <w:rFonts w:ascii="Calibri" w:hAnsi="Calibri" w:cs="Calibri"/>
                <w:color w:val="000000"/>
                <w:sz w:val="22"/>
                <w:szCs w:val="22"/>
                <w:lang w:eastAsia="nl-NL"/>
              </w:rPr>
              <w:t> </w:t>
            </w:r>
          </w:p>
        </w:tc>
        <w:tc>
          <w:tcPr>
            <w:tcW w:w="1040" w:type="dxa"/>
            <w:tcBorders>
              <w:top w:val="nil"/>
              <w:left w:val="nil"/>
              <w:bottom w:val="single" w:sz="8" w:space="0" w:color="auto"/>
              <w:right w:val="single" w:sz="8" w:space="0" w:color="auto"/>
            </w:tcBorders>
            <w:shd w:val="clear" w:color="auto" w:fill="auto"/>
            <w:noWrap/>
            <w:vAlign w:val="center"/>
            <w:hideMark/>
          </w:tcPr>
          <w:p w14:paraId="263AAE48" w14:textId="234272B5" w:rsidR="00464D0F" w:rsidRPr="0023005C" w:rsidRDefault="00464D0F" w:rsidP="00464D0F">
            <w:pPr>
              <w:jc w:val="right"/>
              <w:rPr>
                <w:rFonts w:ascii="Calibri" w:hAnsi="Calibri" w:cs="Calibri"/>
                <w:color w:val="000000"/>
                <w:sz w:val="22"/>
                <w:szCs w:val="22"/>
                <w:lang w:eastAsia="nl-NL"/>
              </w:rPr>
            </w:pPr>
            <w:r w:rsidRPr="0023005C">
              <w:rPr>
                <w:rFonts w:ascii="Calibri" w:hAnsi="Calibri" w:cs="Calibri"/>
                <w:color w:val="000000"/>
                <w:sz w:val="22"/>
                <w:szCs w:val="22"/>
                <w:lang w:eastAsia="nl-NL"/>
              </w:rPr>
              <w:t>123</w:t>
            </w:r>
          </w:p>
        </w:tc>
        <w:tc>
          <w:tcPr>
            <w:tcW w:w="1003" w:type="dxa"/>
            <w:tcBorders>
              <w:top w:val="nil"/>
              <w:left w:val="nil"/>
              <w:bottom w:val="single" w:sz="8" w:space="0" w:color="auto"/>
              <w:right w:val="single" w:sz="8" w:space="0" w:color="auto"/>
            </w:tcBorders>
            <w:shd w:val="clear" w:color="auto" w:fill="auto"/>
            <w:noWrap/>
            <w:vAlign w:val="center"/>
            <w:hideMark/>
          </w:tcPr>
          <w:p w14:paraId="343CC22B" w14:textId="64DBC1BB" w:rsidR="009625F2" w:rsidRPr="0023005C" w:rsidRDefault="00464D0F" w:rsidP="009625F2">
            <w:pPr>
              <w:jc w:val="right"/>
              <w:rPr>
                <w:rFonts w:ascii="Calibri" w:hAnsi="Calibri" w:cs="Calibri"/>
                <w:color w:val="000000"/>
                <w:sz w:val="22"/>
                <w:szCs w:val="22"/>
                <w:lang w:eastAsia="nl-NL"/>
              </w:rPr>
            </w:pPr>
            <w:r w:rsidRPr="0023005C">
              <w:rPr>
                <w:rFonts w:ascii="Calibri" w:hAnsi="Calibri" w:cs="Calibri"/>
                <w:color w:val="000000"/>
                <w:sz w:val="22"/>
                <w:szCs w:val="22"/>
                <w:lang w:eastAsia="nl-NL"/>
              </w:rPr>
              <w:t>-20</w:t>
            </w:r>
          </w:p>
        </w:tc>
      </w:tr>
      <w:tr w:rsidR="009625F2" w:rsidRPr="0023005C" w14:paraId="08B8C495" w14:textId="77777777" w:rsidTr="3FB6F689">
        <w:trPr>
          <w:trHeight w:val="372"/>
        </w:trPr>
        <w:tc>
          <w:tcPr>
            <w:tcW w:w="4385" w:type="dxa"/>
            <w:tcBorders>
              <w:top w:val="nil"/>
              <w:left w:val="single" w:sz="8" w:space="0" w:color="auto"/>
              <w:bottom w:val="single" w:sz="8" w:space="0" w:color="auto"/>
              <w:right w:val="nil"/>
            </w:tcBorders>
            <w:shd w:val="clear" w:color="auto" w:fill="auto"/>
            <w:noWrap/>
            <w:vAlign w:val="center"/>
            <w:hideMark/>
          </w:tcPr>
          <w:p w14:paraId="180E9108" w14:textId="7CAAAA54" w:rsidR="009625F2" w:rsidRPr="0023005C" w:rsidRDefault="00464D0F" w:rsidP="009625F2">
            <w:pPr>
              <w:rPr>
                <w:rFonts w:cs="Calibri"/>
                <w:color w:val="000000"/>
                <w:szCs w:val="21"/>
                <w:lang w:eastAsia="nl-NL"/>
              </w:rPr>
            </w:pPr>
            <w:r w:rsidRPr="0023005C">
              <w:rPr>
                <w:rFonts w:cs="Calibri"/>
                <w:color w:val="000000"/>
                <w:szCs w:val="21"/>
                <w:lang w:eastAsia="nl-NL"/>
              </w:rPr>
              <w:t>Maatwerkbudget</w:t>
            </w:r>
          </w:p>
        </w:tc>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01DE8C31" w14:textId="04AF84C5" w:rsidR="009625F2" w:rsidRPr="0023005C" w:rsidRDefault="009625F2" w:rsidP="009625F2">
            <w:pPr>
              <w:jc w:val="right"/>
              <w:rPr>
                <w:rFonts w:ascii="Calibri" w:hAnsi="Calibri" w:cs="Calibri"/>
                <w:color w:val="000000"/>
                <w:sz w:val="22"/>
                <w:szCs w:val="22"/>
                <w:lang w:eastAsia="nl-NL"/>
              </w:rPr>
            </w:pPr>
            <w:r w:rsidRPr="0023005C">
              <w:rPr>
                <w:rFonts w:ascii="Calibri" w:hAnsi="Calibri" w:cs="Calibri"/>
                <w:color w:val="000000"/>
                <w:sz w:val="22"/>
                <w:szCs w:val="22"/>
                <w:lang w:eastAsia="nl-NL"/>
              </w:rPr>
              <w:t>0</w:t>
            </w:r>
          </w:p>
        </w:tc>
        <w:tc>
          <w:tcPr>
            <w:tcW w:w="1036" w:type="dxa"/>
            <w:tcBorders>
              <w:top w:val="nil"/>
              <w:left w:val="nil"/>
              <w:bottom w:val="single" w:sz="8" w:space="0" w:color="auto"/>
              <w:right w:val="single" w:sz="8" w:space="0" w:color="auto"/>
            </w:tcBorders>
            <w:shd w:val="clear" w:color="auto" w:fill="auto"/>
            <w:noWrap/>
            <w:vAlign w:val="center"/>
            <w:hideMark/>
          </w:tcPr>
          <w:p w14:paraId="51B4F4B0" w14:textId="1E45F603" w:rsidR="009625F2" w:rsidRPr="0023005C" w:rsidRDefault="00464D0F" w:rsidP="009625F2">
            <w:pPr>
              <w:jc w:val="right"/>
              <w:rPr>
                <w:rFonts w:ascii="Calibri" w:hAnsi="Calibri" w:cs="Calibri"/>
                <w:color w:val="000000"/>
                <w:sz w:val="22"/>
                <w:szCs w:val="22"/>
                <w:lang w:eastAsia="nl-NL"/>
              </w:rPr>
            </w:pPr>
            <w:r w:rsidRPr="0023005C">
              <w:rPr>
                <w:rFonts w:ascii="Calibri" w:hAnsi="Calibri" w:cs="Calibri"/>
                <w:color w:val="000000"/>
                <w:sz w:val="22"/>
                <w:szCs w:val="22"/>
                <w:lang w:eastAsia="nl-NL"/>
              </w:rPr>
              <w:t>0</w:t>
            </w:r>
          </w:p>
        </w:tc>
        <w:tc>
          <w:tcPr>
            <w:tcW w:w="1040" w:type="dxa"/>
            <w:tcBorders>
              <w:top w:val="nil"/>
              <w:left w:val="nil"/>
              <w:bottom w:val="single" w:sz="8" w:space="0" w:color="auto"/>
              <w:right w:val="single" w:sz="8" w:space="0" w:color="auto"/>
            </w:tcBorders>
            <w:shd w:val="clear" w:color="auto" w:fill="auto"/>
            <w:noWrap/>
            <w:vAlign w:val="center"/>
            <w:hideMark/>
          </w:tcPr>
          <w:p w14:paraId="261BE952" w14:textId="730B4390" w:rsidR="009625F2" w:rsidRPr="0023005C" w:rsidRDefault="00464D0F" w:rsidP="009625F2">
            <w:pPr>
              <w:jc w:val="right"/>
              <w:rPr>
                <w:rFonts w:ascii="Calibri" w:hAnsi="Calibri" w:cs="Calibri"/>
                <w:color w:val="000000"/>
                <w:sz w:val="22"/>
                <w:szCs w:val="22"/>
                <w:lang w:eastAsia="nl-NL"/>
              </w:rPr>
            </w:pPr>
            <w:r w:rsidRPr="0023005C">
              <w:rPr>
                <w:rFonts w:ascii="Calibri" w:hAnsi="Calibri" w:cs="Calibri"/>
                <w:color w:val="000000"/>
                <w:sz w:val="22"/>
                <w:szCs w:val="22"/>
                <w:lang w:eastAsia="nl-NL"/>
              </w:rPr>
              <w:t>15</w:t>
            </w:r>
          </w:p>
        </w:tc>
        <w:tc>
          <w:tcPr>
            <w:tcW w:w="1003" w:type="dxa"/>
            <w:tcBorders>
              <w:top w:val="nil"/>
              <w:left w:val="nil"/>
              <w:bottom w:val="single" w:sz="8" w:space="0" w:color="auto"/>
              <w:right w:val="single" w:sz="8" w:space="0" w:color="auto"/>
            </w:tcBorders>
            <w:shd w:val="clear" w:color="auto" w:fill="auto"/>
            <w:noWrap/>
            <w:vAlign w:val="center"/>
            <w:hideMark/>
          </w:tcPr>
          <w:p w14:paraId="17D2B00E" w14:textId="723A3E5B" w:rsidR="009625F2" w:rsidRPr="0023005C" w:rsidRDefault="00464D0F" w:rsidP="009625F2">
            <w:pPr>
              <w:jc w:val="right"/>
              <w:rPr>
                <w:rFonts w:ascii="Calibri" w:hAnsi="Calibri" w:cs="Calibri"/>
                <w:color w:val="000000"/>
                <w:sz w:val="22"/>
                <w:szCs w:val="22"/>
                <w:lang w:eastAsia="nl-NL"/>
              </w:rPr>
            </w:pPr>
            <w:r w:rsidRPr="0023005C">
              <w:rPr>
                <w:rFonts w:ascii="Calibri" w:hAnsi="Calibri" w:cs="Calibri"/>
                <w:color w:val="000000"/>
                <w:sz w:val="22"/>
                <w:szCs w:val="22"/>
                <w:lang w:eastAsia="nl-NL"/>
              </w:rPr>
              <w:t>-15</w:t>
            </w:r>
          </w:p>
        </w:tc>
      </w:tr>
      <w:tr w:rsidR="00464D0F" w:rsidRPr="0023005C" w14:paraId="5976C90D" w14:textId="77777777" w:rsidTr="3FB6F689">
        <w:trPr>
          <w:trHeight w:val="372"/>
        </w:trPr>
        <w:tc>
          <w:tcPr>
            <w:tcW w:w="4385" w:type="dxa"/>
            <w:tcBorders>
              <w:top w:val="nil"/>
              <w:left w:val="single" w:sz="8" w:space="0" w:color="auto"/>
              <w:bottom w:val="single" w:sz="8" w:space="0" w:color="auto"/>
              <w:right w:val="nil"/>
            </w:tcBorders>
            <w:shd w:val="clear" w:color="auto" w:fill="auto"/>
            <w:noWrap/>
            <w:vAlign w:val="center"/>
          </w:tcPr>
          <w:p w14:paraId="1A11E036" w14:textId="24E0E78F" w:rsidR="00464D0F" w:rsidRPr="0023005C" w:rsidRDefault="00464D0F" w:rsidP="009625F2">
            <w:pPr>
              <w:rPr>
                <w:rFonts w:cs="Calibri"/>
                <w:color w:val="000000"/>
                <w:szCs w:val="21"/>
                <w:lang w:eastAsia="nl-NL"/>
              </w:rPr>
            </w:pPr>
            <w:r w:rsidRPr="0023005C">
              <w:rPr>
                <w:rFonts w:cs="Calibri"/>
                <w:color w:val="000000"/>
                <w:szCs w:val="21"/>
                <w:lang w:eastAsia="nl-NL"/>
              </w:rPr>
              <w:t>Persoonsgebonden budget</w:t>
            </w:r>
          </w:p>
        </w:tc>
        <w:tc>
          <w:tcPr>
            <w:tcW w:w="1040" w:type="dxa"/>
            <w:tcBorders>
              <w:top w:val="nil"/>
              <w:left w:val="single" w:sz="8" w:space="0" w:color="auto"/>
              <w:bottom w:val="single" w:sz="8" w:space="0" w:color="auto"/>
              <w:right w:val="single" w:sz="8" w:space="0" w:color="auto"/>
            </w:tcBorders>
            <w:shd w:val="clear" w:color="auto" w:fill="auto"/>
            <w:noWrap/>
            <w:vAlign w:val="center"/>
          </w:tcPr>
          <w:p w14:paraId="3AD34265" w14:textId="160B3121" w:rsidR="00464D0F" w:rsidRPr="0023005C" w:rsidRDefault="00464D0F" w:rsidP="009625F2">
            <w:pPr>
              <w:jc w:val="right"/>
              <w:rPr>
                <w:rFonts w:ascii="Calibri" w:hAnsi="Calibri" w:cs="Calibri"/>
                <w:color w:val="000000"/>
                <w:sz w:val="22"/>
                <w:szCs w:val="22"/>
                <w:lang w:eastAsia="nl-NL"/>
              </w:rPr>
            </w:pPr>
            <w:r w:rsidRPr="0023005C">
              <w:rPr>
                <w:rFonts w:ascii="Calibri" w:hAnsi="Calibri" w:cs="Calibri"/>
                <w:color w:val="000000"/>
                <w:sz w:val="22"/>
                <w:szCs w:val="22"/>
                <w:lang w:eastAsia="nl-NL"/>
              </w:rPr>
              <w:t>416</w:t>
            </w:r>
          </w:p>
        </w:tc>
        <w:tc>
          <w:tcPr>
            <w:tcW w:w="1036" w:type="dxa"/>
            <w:tcBorders>
              <w:top w:val="nil"/>
              <w:left w:val="nil"/>
              <w:bottom w:val="single" w:sz="8" w:space="0" w:color="auto"/>
              <w:right w:val="single" w:sz="8" w:space="0" w:color="auto"/>
            </w:tcBorders>
            <w:shd w:val="clear" w:color="auto" w:fill="auto"/>
            <w:noWrap/>
            <w:vAlign w:val="center"/>
          </w:tcPr>
          <w:p w14:paraId="55A7012B" w14:textId="0D575092" w:rsidR="00464D0F" w:rsidRPr="0023005C" w:rsidRDefault="00464D0F" w:rsidP="009625F2">
            <w:pPr>
              <w:jc w:val="right"/>
              <w:rPr>
                <w:rFonts w:ascii="Calibri" w:hAnsi="Calibri" w:cs="Calibri"/>
                <w:color w:val="000000"/>
                <w:sz w:val="22"/>
                <w:szCs w:val="22"/>
                <w:lang w:eastAsia="nl-NL"/>
              </w:rPr>
            </w:pPr>
            <w:r w:rsidRPr="0023005C">
              <w:rPr>
                <w:rFonts w:ascii="Calibri" w:hAnsi="Calibri" w:cs="Calibri"/>
                <w:color w:val="000000"/>
                <w:sz w:val="22"/>
                <w:szCs w:val="22"/>
                <w:lang w:eastAsia="nl-NL"/>
              </w:rPr>
              <w:t>467</w:t>
            </w:r>
          </w:p>
        </w:tc>
        <w:tc>
          <w:tcPr>
            <w:tcW w:w="1040" w:type="dxa"/>
            <w:tcBorders>
              <w:top w:val="nil"/>
              <w:left w:val="nil"/>
              <w:bottom w:val="single" w:sz="8" w:space="0" w:color="auto"/>
              <w:right w:val="single" w:sz="8" w:space="0" w:color="auto"/>
            </w:tcBorders>
            <w:shd w:val="clear" w:color="auto" w:fill="auto"/>
            <w:noWrap/>
            <w:vAlign w:val="center"/>
          </w:tcPr>
          <w:p w14:paraId="02E4BEB8" w14:textId="1715ADB7" w:rsidR="00464D0F" w:rsidRPr="0023005C" w:rsidRDefault="00464D0F" w:rsidP="009625F2">
            <w:pPr>
              <w:jc w:val="right"/>
              <w:rPr>
                <w:rFonts w:ascii="Calibri" w:hAnsi="Calibri" w:cs="Calibri"/>
                <w:color w:val="000000"/>
                <w:sz w:val="22"/>
                <w:szCs w:val="22"/>
                <w:lang w:eastAsia="nl-NL"/>
              </w:rPr>
            </w:pPr>
            <w:r w:rsidRPr="0023005C">
              <w:rPr>
                <w:rFonts w:ascii="Calibri" w:hAnsi="Calibri" w:cs="Calibri"/>
                <w:color w:val="000000"/>
                <w:sz w:val="22"/>
                <w:szCs w:val="22"/>
                <w:lang w:eastAsia="nl-NL"/>
              </w:rPr>
              <w:t>406</w:t>
            </w:r>
          </w:p>
        </w:tc>
        <w:tc>
          <w:tcPr>
            <w:tcW w:w="1003" w:type="dxa"/>
            <w:tcBorders>
              <w:top w:val="nil"/>
              <w:left w:val="nil"/>
              <w:bottom w:val="single" w:sz="8" w:space="0" w:color="auto"/>
              <w:right w:val="single" w:sz="8" w:space="0" w:color="auto"/>
            </w:tcBorders>
            <w:shd w:val="clear" w:color="auto" w:fill="auto"/>
            <w:noWrap/>
            <w:vAlign w:val="center"/>
          </w:tcPr>
          <w:p w14:paraId="1C754222" w14:textId="2310CA2D" w:rsidR="00464D0F" w:rsidRPr="0023005C" w:rsidRDefault="00464D0F" w:rsidP="009625F2">
            <w:pPr>
              <w:jc w:val="right"/>
              <w:rPr>
                <w:rFonts w:ascii="Calibri" w:hAnsi="Calibri" w:cs="Calibri"/>
                <w:color w:val="000000"/>
                <w:sz w:val="22"/>
                <w:szCs w:val="22"/>
                <w:lang w:eastAsia="nl-NL"/>
              </w:rPr>
            </w:pPr>
            <w:r w:rsidRPr="0023005C">
              <w:rPr>
                <w:rFonts w:ascii="Calibri" w:hAnsi="Calibri" w:cs="Calibri"/>
                <w:color w:val="000000"/>
                <w:sz w:val="22"/>
                <w:szCs w:val="22"/>
                <w:lang w:eastAsia="nl-NL"/>
              </w:rPr>
              <w:t>61</w:t>
            </w:r>
          </w:p>
        </w:tc>
      </w:tr>
      <w:tr w:rsidR="009625F2" w:rsidRPr="0023005C" w14:paraId="478EC2D6" w14:textId="77777777" w:rsidTr="3FB6F689">
        <w:trPr>
          <w:trHeight w:val="372"/>
        </w:trPr>
        <w:tc>
          <w:tcPr>
            <w:tcW w:w="4385" w:type="dxa"/>
            <w:tcBorders>
              <w:top w:val="nil"/>
              <w:left w:val="single" w:sz="8" w:space="0" w:color="auto"/>
              <w:bottom w:val="single" w:sz="8" w:space="0" w:color="auto"/>
              <w:right w:val="nil"/>
            </w:tcBorders>
            <w:shd w:val="clear" w:color="auto" w:fill="auto"/>
            <w:noWrap/>
            <w:vAlign w:val="center"/>
            <w:hideMark/>
          </w:tcPr>
          <w:p w14:paraId="335A4426" w14:textId="0DFF352D" w:rsidR="009625F2" w:rsidRPr="0023005C" w:rsidRDefault="009625F2" w:rsidP="009625F2">
            <w:pPr>
              <w:rPr>
                <w:rFonts w:cs="Calibri"/>
                <w:color w:val="000000"/>
                <w:szCs w:val="21"/>
                <w:lang w:eastAsia="nl-NL"/>
              </w:rPr>
            </w:pPr>
            <w:r w:rsidRPr="0023005C">
              <w:rPr>
                <w:rFonts w:cs="Calibri"/>
                <w:color w:val="000000"/>
                <w:szCs w:val="21"/>
                <w:lang w:eastAsia="nl-NL"/>
              </w:rPr>
              <w:t>Reg</w:t>
            </w:r>
            <w:r w:rsidR="00D42B2B" w:rsidRPr="0023005C">
              <w:rPr>
                <w:rFonts w:cs="Calibri"/>
                <w:color w:val="000000"/>
                <w:szCs w:val="21"/>
                <w:lang w:eastAsia="nl-NL"/>
              </w:rPr>
              <w:t>ionale</w:t>
            </w:r>
            <w:r w:rsidRPr="0023005C">
              <w:rPr>
                <w:rFonts w:cs="Calibri"/>
                <w:color w:val="000000"/>
                <w:szCs w:val="21"/>
                <w:lang w:eastAsia="nl-NL"/>
              </w:rPr>
              <w:t xml:space="preserve"> ink</w:t>
            </w:r>
            <w:r w:rsidR="00D42B2B" w:rsidRPr="0023005C">
              <w:rPr>
                <w:rFonts w:cs="Calibri"/>
                <w:color w:val="000000"/>
                <w:szCs w:val="21"/>
                <w:lang w:eastAsia="nl-NL"/>
              </w:rPr>
              <w:t>oop</w:t>
            </w:r>
            <w:r w:rsidRPr="0023005C">
              <w:rPr>
                <w:rFonts w:cs="Calibri"/>
                <w:color w:val="000000"/>
                <w:szCs w:val="21"/>
                <w:lang w:eastAsia="nl-NL"/>
              </w:rPr>
              <w:t xml:space="preserve"> stelpost risico WMO</w:t>
            </w:r>
          </w:p>
        </w:tc>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28F52C3D" w14:textId="2DCDA564" w:rsidR="002F75DD" w:rsidRPr="0023005C" w:rsidRDefault="002F75DD" w:rsidP="0023005C">
            <w:pPr>
              <w:jc w:val="center"/>
              <w:rPr>
                <w:rFonts w:ascii="Calibri" w:hAnsi="Calibri" w:cs="Calibri"/>
                <w:color w:val="000000"/>
                <w:sz w:val="22"/>
                <w:szCs w:val="22"/>
                <w:lang w:eastAsia="nl-NL"/>
              </w:rPr>
            </w:pPr>
          </w:p>
        </w:tc>
        <w:tc>
          <w:tcPr>
            <w:tcW w:w="1036" w:type="dxa"/>
            <w:tcBorders>
              <w:top w:val="nil"/>
              <w:left w:val="nil"/>
              <w:bottom w:val="single" w:sz="8" w:space="0" w:color="auto"/>
              <w:right w:val="single" w:sz="8" w:space="0" w:color="auto"/>
            </w:tcBorders>
            <w:shd w:val="clear" w:color="auto" w:fill="auto"/>
            <w:noWrap/>
            <w:vAlign w:val="center"/>
            <w:hideMark/>
          </w:tcPr>
          <w:p w14:paraId="60AEF01B" w14:textId="06273CB2" w:rsidR="009625F2" w:rsidRPr="0023005C" w:rsidRDefault="00464D0F" w:rsidP="009625F2">
            <w:pPr>
              <w:jc w:val="right"/>
              <w:rPr>
                <w:rFonts w:ascii="Calibri" w:hAnsi="Calibri" w:cs="Calibri"/>
                <w:color w:val="000000"/>
                <w:sz w:val="22"/>
                <w:szCs w:val="22"/>
                <w:lang w:eastAsia="nl-NL"/>
              </w:rPr>
            </w:pPr>
            <w:r w:rsidRPr="0023005C">
              <w:rPr>
                <w:rFonts w:ascii="Calibri" w:hAnsi="Calibri" w:cs="Calibri"/>
                <w:color w:val="000000"/>
                <w:sz w:val="22"/>
                <w:szCs w:val="22"/>
                <w:lang w:eastAsia="nl-NL"/>
              </w:rPr>
              <w:t>4</w:t>
            </w:r>
            <w:r w:rsidR="002F75DD" w:rsidRPr="0023005C">
              <w:rPr>
                <w:rFonts w:ascii="Calibri" w:hAnsi="Calibri" w:cs="Calibri"/>
                <w:color w:val="000000"/>
                <w:sz w:val="22"/>
                <w:szCs w:val="22"/>
                <w:lang w:eastAsia="nl-NL"/>
              </w:rPr>
              <w:t>87</w:t>
            </w:r>
          </w:p>
        </w:tc>
        <w:tc>
          <w:tcPr>
            <w:tcW w:w="1040" w:type="dxa"/>
            <w:tcBorders>
              <w:top w:val="nil"/>
              <w:left w:val="nil"/>
              <w:bottom w:val="single" w:sz="8" w:space="0" w:color="auto"/>
              <w:right w:val="single" w:sz="8" w:space="0" w:color="auto"/>
            </w:tcBorders>
            <w:shd w:val="clear" w:color="auto" w:fill="auto"/>
            <w:noWrap/>
            <w:vAlign w:val="center"/>
          </w:tcPr>
          <w:p w14:paraId="323E34BE" w14:textId="6420AD34" w:rsidR="009625F2" w:rsidRPr="0023005C" w:rsidRDefault="002F75DD" w:rsidP="009625F2">
            <w:pPr>
              <w:jc w:val="right"/>
              <w:rPr>
                <w:rFonts w:ascii="Calibri" w:hAnsi="Calibri" w:cs="Calibri"/>
                <w:color w:val="000000"/>
                <w:sz w:val="22"/>
                <w:szCs w:val="22"/>
                <w:lang w:eastAsia="nl-NL"/>
              </w:rPr>
            </w:pPr>
            <w:r w:rsidRPr="0023005C">
              <w:rPr>
                <w:rFonts w:ascii="Calibri" w:hAnsi="Calibri" w:cs="Calibri"/>
                <w:color w:val="000000"/>
                <w:sz w:val="22"/>
                <w:szCs w:val="22"/>
                <w:lang w:eastAsia="nl-NL"/>
              </w:rPr>
              <w:t>0</w:t>
            </w:r>
          </w:p>
        </w:tc>
        <w:tc>
          <w:tcPr>
            <w:tcW w:w="1003" w:type="dxa"/>
            <w:tcBorders>
              <w:top w:val="nil"/>
              <w:left w:val="nil"/>
              <w:bottom w:val="single" w:sz="8" w:space="0" w:color="auto"/>
              <w:right w:val="single" w:sz="8" w:space="0" w:color="auto"/>
            </w:tcBorders>
            <w:shd w:val="clear" w:color="auto" w:fill="auto"/>
            <w:noWrap/>
            <w:vAlign w:val="center"/>
          </w:tcPr>
          <w:p w14:paraId="177A3D4F" w14:textId="3CD8AAF7" w:rsidR="009625F2" w:rsidRPr="0023005C" w:rsidRDefault="002F75DD" w:rsidP="009625F2">
            <w:pPr>
              <w:jc w:val="right"/>
              <w:rPr>
                <w:rFonts w:ascii="Calibri" w:hAnsi="Calibri" w:cs="Calibri"/>
                <w:color w:val="000000"/>
                <w:sz w:val="22"/>
                <w:szCs w:val="22"/>
                <w:lang w:eastAsia="nl-NL"/>
              </w:rPr>
            </w:pPr>
            <w:r w:rsidRPr="0023005C">
              <w:rPr>
                <w:rFonts w:ascii="Calibri" w:hAnsi="Calibri" w:cs="Calibri"/>
                <w:color w:val="000000"/>
                <w:sz w:val="22"/>
                <w:szCs w:val="22"/>
                <w:lang w:eastAsia="nl-NL"/>
              </w:rPr>
              <w:t>487</w:t>
            </w:r>
          </w:p>
        </w:tc>
      </w:tr>
      <w:tr w:rsidR="009625F2" w:rsidRPr="0023005C" w14:paraId="76EF61CF" w14:textId="77777777" w:rsidTr="3FB6F689">
        <w:trPr>
          <w:trHeight w:val="372"/>
        </w:trPr>
        <w:tc>
          <w:tcPr>
            <w:tcW w:w="4385" w:type="dxa"/>
            <w:tcBorders>
              <w:top w:val="nil"/>
              <w:left w:val="single" w:sz="8" w:space="0" w:color="auto"/>
              <w:bottom w:val="single" w:sz="8" w:space="0" w:color="auto"/>
              <w:right w:val="nil"/>
            </w:tcBorders>
            <w:shd w:val="clear" w:color="auto" w:fill="auto"/>
            <w:noWrap/>
            <w:vAlign w:val="center"/>
            <w:hideMark/>
          </w:tcPr>
          <w:p w14:paraId="4AD55BFD" w14:textId="77777777" w:rsidR="009625F2" w:rsidRPr="0023005C" w:rsidRDefault="009625F2" w:rsidP="009625F2">
            <w:pPr>
              <w:rPr>
                <w:rFonts w:cs="Calibri"/>
                <w:color w:val="000000"/>
                <w:szCs w:val="21"/>
                <w:lang w:eastAsia="nl-NL"/>
              </w:rPr>
            </w:pPr>
            <w:r w:rsidRPr="0023005C">
              <w:rPr>
                <w:rFonts w:cs="Calibri"/>
                <w:color w:val="000000"/>
                <w:szCs w:val="21"/>
                <w:lang w:eastAsia="nl-NL"/>
              </w:rPr>
              <w:t>Regionale inkoop WMO: Ondersteunen</w:t>
            </w:r>
          </w:p>
        </w:tc>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7636E75A" w14:textId="51F24516" w:rsidR="009625F2" w:rsidRPr="0023005C" w:rsidRDefault="0082013B" w:rsidP="009625F2">
            <w:pPr>
              <w:jc w:val="right"/>
              <w:rPr>
                <w:rFonts w:ascii="Calibri" w:hAnsi="Calibri" w:cs="Calibri"/>
                <w:color w:val="000000"/>
                <w:sz w:val="22"/>
                <w:szCs w:val="22"/>
                <w:lang w:eastAsia="nl-NL"/>
              </w:rPr>
            </w:pPr>
            <w:r w:rsidRPr="0023005C">
              <w:rPr>
                <w:rFonts w:ascii="Calibri" w:hAnsi="Calibri" w:cs="Calibri"/>
                <w:color w:val="000000"/>
                <w:sz w:val="22"/>
                <w:szCs w:val="22"/>
                <w:lang w:eastAsia="nl-NL"/>
              </w:rPr>
              <w:t>1.838</w:t>
            </w:r>
          </w:p>
        </w:tc>
        <w:tc>
          <w:tcPr>
            <w:tcW w:w="1036" w:type="dxa"/>
            <w:tcBorders>
              <w:top w:val="nil"/>
              <w:left w:val="nil"/>
              <w:bottom w:val="single" w:sz="8" w:space="0" w:color="auto"/>
              <w:right w:val="single" w:sz="8" w:space="0" w:color="auto"/>
            </w:tcBorders>
            <w:shd w:val="clear" w:color="auto" w:fill="auto"/>
            <w:noWrap/>
            <w:vAlign w:val="center"/>
            <w:hideMark/>
          </w:tcPr>
          <w:p w14:paraId="33565DDC" w14:textId="3F2A8647" w:rsidR="009625F2" w:rsidRPr="0023005C" w:rsidRDefault="0082013B" w:rsidP="009625F2">
            <w:pPr>
              <w:jc w:val="right"/>
              <w:rPr>
                <w:rFonts w:ascii="Calibri" w:hAnsi="Calibri" w:cs="Calibri"/>
                <w:color w:val="000000"/>
                <w:sz w:val="22"/>
                <w:szCs w:val="22"/>
                <w:lang w:eastAsia="nl-NL"/>
              </w:rPr>
            </w:pPr>
            <w:r w:rsidRPr="0023005C">
              <w:rPr>
                <w:rFonts w:ascii="Calibri" w:hAnsi="Calibri" w:cs="Calibri"/>
                <w:color w:val="000000"/>
                <w:sz w:val="22"/>
                <w:szCs w:val="22"/>
                <w:lang w:eastAsia="nl-NL"/>
              </w:rPr>
              <w:t>4.02</w:t>
            </w:r>
            <w:r w:rsidR="0023005C" w:rsidRPr="0023005C">
              <w:rPr>
                <w:rFonts w:ascii="Calibri" w:hAnsi="Calibri" w:cs="Calibri"/>
                <w:color w:val="000000"/>
                <w:sz w:val="22"/>
                <w:szCs w:val="22"/>
                <w:lang w:eastAsia="nl-NL"/>
              </w:rPr>
              <w:t>8</w:t>
            </w:r>
          </w:p>
        </w:tc>
        <w:tc>
          <w:tcPr>
            <w:tcW w:w="1040" w:type="dxa"/>
            <w:tcBorders>
              <w:top w:val="nil"/>
              <w:left w:val="nil"/>
              <w:bottom w:val="single" w:sz="8" w:space="0" w:color="auto"/>
              <w:right w:val="single" w:sz="8" w:space="0" w:color="auto"/>
            </w:tcBorders>
            <w:shd w:val="clear" w:color="auto" w:fill="auto"/>
            <w:noWrap/>
            <w:vAlign w:val="center"/>
            <w:hideMark/>
          </w:tcPr>
          <w:p w14:paraId="135B85A2" w14:textId="6C0078ED" w:rsidR="009625F2" w:rsidRPr="0023005C" w:rsidRDefault="0082013B" w:rsidP="009625F2">
            <w:pPr>
              <w:jc w:val="right"/>
              <w:rPr>
                <w:rFonts w:ascii="Calibri" w:hAnsi="Calibri" w:cs="Calibri"/>
                <w:color w:val="000000"/>
                <w:sz w:val="22"/>
                <w:szCs w:val="22"/>
                <w:lang w:eastAsia="nl-NL"/>
              </w:rPr>
            </w:pPr>
            <w:r w:rsidRPr="0023005C">
              <w:rPr>
                <w:rFonts w:ascii="Calibri" w:hAnsi="Calibri" w:cs="Calibri"/>
                <w:color w:val="000000"/>
                <w:sz w:val="22"/>
                <w:szCs w:val="22"/>
                <w:lang w:eastAsia="nl-NL"/>
              </w:rPr>
              <w:t>4.926</w:t>
            </w:r>
          </w:p>
        </w:tc>
        <w:tc>
          <w:tcPr>
            <w:tcW w:w="1003" w:type="dxa"/>
            <w:tcBorders>
              <w:top w:val="nil"/>
              <w:left w:val="nil"/>
              <w:bottom w:val="single" w:sz="8" w:space="0" w:color="auto"/>
              <w:right w:val="single" w:sz="8" w:space="0" w:color="auto"/>
            </w:tcBorders>
            <w:shd w:val="clear" w:color="auto" w:fill="auto"/>
            <w:noWrap/>
            <w:vAlign w:val="center"/>
            <w:hideMark/>
          </w:tcPr>
          <w:p w14:paraId="392260FB" w14:textId="69576973" w:rsidR="009625F2" w:rsidRPr="0023005C" w:rsidRDefault="0082013B" w:rsidP="009625F2">
            <w:pPr>
              <w:jc w:val="right"/>
              <w:rPr>
                <w:rFonts w:ascii="Calibri" w:hAnsi="Calibri" w:cs="Calibri"/>
                <w:color w:val="000000"/>
                <w:sz w:val="22"/>
                <w:szCs w:val="22"/>
                <w:lang w:eastAsia="nl-NL"/>
              </w:rPr>
            </w:pPr>
            <w:r w:rsidRPr="0023005C">
              <w:rPr>
                <w:rFonts w:ascii="Calibri" w:hAnsi="Calibri" w:cs="Calibri"/>
                <w:color w:val="000000"/>
                <w:sz w:val="22"/>
                <w:szCs w:val="22"/>
                <w:lang w:eastAsia="nl-NL"/>
              </w:rPr>
              <w:t>-899</w:t>
            </w:r>
          </w:p>
        </w:tc>
      </w:tr>
      <w:tr w:rsidR="009625F2" w:rsidRPr="0023005C" w14:paraId="2D7B1824" w14:textId="77777777" w:rsidTr="3FB6F689">
        <w:trPr>
          <w:trHeight w:val="372"/>
        </w:trPr>
        <w:tc>
          <w:tcPr>
            <w:tcW w:w="4385" w:type="dxa"/>
            <w:tcBorders>
              <w:top w:val="nil"/>
              <w:left w:val="single" w:sz="8" w:space="0" w:color="auto"/>
              <w:bottom w:val="single" w:sz="8" w:space="0" w:color="auto"/>
              <w:right w:val="nil"/>
            </w:tcBorders>
            <w:shd w:val="clear" w:color="auto" w:fill="C6D9F1" w:themeFill="text2" w:themeFillTint="33"/>
            <w:noWrap/>
            <w:vAlign w:val="center"/>
            <w:hideMark/>
          </w:tcPr>
          <w:p w14:paraId="44160E57" w14:textId="77777777" w:rsidR="009625F2" w:rsidRPr="0023005C" w:rsidRDefault="009625F2" w:rsidP="009625F2">
            <w:pPr>
              <w:rPr>
                <w:rFonts w:cs="Calibri"/>
                <w:b/>
                <w:bCs/>
                <w:color w:val="000000"/>
                <w:szCs w:val="21"/>
                <w:lang w:eastAsia="nl-NL"/>
              </w:rPr>
            </w:pPr>
            <w:r w:rsidRPr="0023005C">
              <w:rPr>
                <w:rFonts w:cs="Calibri"/>
                <w:b/>
                <w:bCs/>
                <w:color w:val="000000"/>
                <w:szCs w:val="21"/>
                <w:lang w:eastAsia="nl-NL"/>
              </w:rPr>
              <w:t>Totaal</w:t>
            </w:r>
          </w:p>
        </w:tc>
        <w:tc>
          <w:tcPr>
            <w:tcW w:w="1040" w:type="dxa"/>
            <w:tcBorders>
              <w:top w:val="nil"/>
              <w:left w:val="single" w:sz="8" w:space="0" w:color="auto"/>
              <w:bottom w:val="single" w:sz="8" w:space="0" w:color="auto"/>
              <w:right w:val="single" w:sz="8" w:space="0" w:color="auto"/>
            </w:tcBorders>
            <w:shd w:val="clear" w:color="auto" w:fill="C6D9F1" w:themeFill="text2" w:themeFillTint="33"/>
            <w:noWrap/>
            <w:vAlign w:val="center"/>
            <w:hideMark/>
          </w:tcPr>
          <w:p w14:paraId="1D30FD91" w14:textId="282E62B2" w:rsidR="009625F2" w:rsidRPr="0023005C" w:rsidRDefault="009625F2" w:rsidP="009625F2">
            <w:pPr>
              <w:jc w:val="right"/>
              <w:rPr>
                <w:rFonts w:cs="Calibri"/>
                <w:b/>
                <w:bCs/>
                <w:color w:val="000000"/>
                <w:szCs w:val="21"/>
                <w:lang w:eastAsia="nl-NL"/>
              </w:rPr>
            </w:pPr>
            <w:r w:rsidRPr="0023005C">
              <w:rPr>
                <w:rFonts w:cs="Calibri"/>
                <w:b/>
                <w:bCs/>
                <w:color w:val="000000"/>
                <w:szCs w:val="21"/>
                <w:lang w:eastAsia="nl-NL"/>
              </w:rPr>
              <w:t>11.</w:t>
            </w:r>
            <w:r w:rsidR="0023005C" w:rsidRPr="0023005C">
              <w:rPr>
                <w:rFonts w:cs="Calibri"/>
                <w:b/>
                <w:bCs/>
                <w:color w:val="000000"/>
                <w:szCs w:val="21"/>
                <w:lang w:eastAsia="nl-NL"/>
              </w:rPr>
              <w:t>662</w:t>
            </w:r>
          </w:p>
        </w:tc>
        <w:tc>
          <w:tcPr>
            <w:tcW w:w="1036" w:type="dxa"/>
            <w:tcBorders>
              <w:top w:val="nil"/>
              <w:left w:val="nil"/>
              <w:bottom w:val="single" w:sz="8" w:space="0" w:color="auto"/>
              <w:right w:val="single" w:sz="8" w:space="0" w:color="auto"/>
            </w:tcBorders>
            <w:shd w:val="clear" w:color="auto" w:fill="C6D9F1" w:themeFill="text2" w:themeFillTint="33"/>
            <w:noWrap/>
            <w:vAlign w:val="center"/>
            <w:hideMark/>
          </w:tcPr>
          <w:p w14:paraId="7B7C74F8" w14:textId="47467005" w:rsidR="009625F2" w:rsidRPr="0023005C" w:rsidRDefault="009625F2" w:rsidP="009625F2">
            <w:pPr>
              <w:jc w:val="right"/>
              <w:rPr>
                <w:rFonts w:ascii="Calibri" w:hAnsi="Calibri" w:cs="Calibri"/>
                <w:b/>
                <w:bCs/>
                <w:color w:val="000000"/>
                <w:sz w:val="22"/>
                <w:szCs w:val="22"/>
                <w:lang w:eastAsia="nl-NL"/>
              </w:rPr>
            </w:pPr>
            <w:r w:rsidRPr="0023005C">
              <w:rPr>
                <w:rFonts w:ascii="Calibri" w:hAnsi="Calibri" w:cs="Calibri"/>
                <w:b/>
                <w:bCs/>
                <w:color w:val="000000"/>
                <w:sz w:val="22"/>
                <w:szCs w:val="22"/>
                <w:lang w:eastAsia="nl-NL"/>
              </w:rPr>
              <w:t>1</w:t>
            </w:r>
            <w:r w:rsidR="0082013B" w:rsidRPr="0023005C">
              <w:rPr>
                <w:rFonts w:ascii="Calibri" w:hAnsi="Calibri" w:cs="Calibri"/>
                <w:b/>
                <w:bCs/>
                <w:color w:val="000000"/>
                <w:sz w:val="22"/>
                <w:szCs w:val="22"/>
                <w:lang w:eastAsia="nl-NL"/>
              </w:rPr>
              <w:t>0</w:t>
            </w:r>
            <w:r w:rsidRPr="0023005C">
              <w:rPr>
                <w:rFonts w:ascii="Calibri" w:hAnsi="Calibri" w:cs="Calibri"/>
                <w:b/>
                <w:bCs/>
                <w:color w:val="000000"/>
                <w:sz w:val="22"/>
                <w:szCs w:val="22"/>
                <w:lang w:eastAsia="nl-NL"/>
              </w:rPr>
              <w:t>.</w:t>
            </w:r>
            <w:r w:rsidR="0082013B" w:rsidRPr="0023005C">
              <w:rPr>
                <w:rFonts w:ascii="Calibri" w:hAnsi="Calibri" w:cs="Calibri"/>
                <w:b/>
                <w:bCs/>
                <w:color w:val="000000"/>
                <w:sz w:val="22"/>
                <w:szCs w:val="22"/>
                <w:lang w:eastAsia="nl-NL"/>
              </w:rPr>
              <w:t>993</w:t>
            </w:r>
          </w:p>
        </w:tc>
        <w:tc>
          <w:tcPr>
            <w:tcW w:w="1040" w:type="dxa"/>
            <w:tcBorders>
              <w:top w:val="nil"/>
              <w:left w:val="nil"/>
              <w:bottom w:val="single" w:sz="8" w:space="0" w:color="auto"/>
              <w:right w:val="single" w:sz="8" w:space="0" w:color="auto"/>
            </w:tcBorders>
            <w:shd w:val="clear" w:color="auto" w:fill="C6D9F1" w:themeFill="text2" w:themeFillTint="33"/>
            <w:noWrap/>
            <w:vAlign w:val="center"/>
            <w:hideMark/>
          </w:tcPr>
          <w:p w14:paraId="70A0515E" w14:textId="02E10885" w:rsidR="009625F2" w:rsidRPr="0023005C" w:rsidRDefault="009625F2" w:rsidP="009625F2">
            <w:pPr>
              <w:jc w:val="right"/>
              <w:rPr>
                <w:rFonts w:ascii="Calibri" w:hAnsi="Calibri" w:cs="Calibri"/>
                <w:b/>
                <w:bCs/>
                <w:color w:val="000000"/>
                <w:sz w:val="22"/>
                <w:szCs w:val="22"/>
                <w:lang w:eastAsia="nl-NL"/>
              </w:rPr>
            </w:pPr>
            <w:r w:rsidRPr="0023005C">
              <w:rPr>
                <w:rFonts w:ascii="Calibri" w:hAnsi="Calibri" w:cs="Calibri"/>
                <w:b/>
                <w:bCs/>
                <w:color w:val="000000"/>
                <w:sz w:val="22"/>
                <w:szCs w:val="22"/>
                <w:lang w:eastAsia="nl-NL"/>
              </w:rPr>
              <w:t>12.</w:t>
            </w:r>
            <w:r w:rsidR="0082013B" w:rsidRPr="0023005C">
              <w:rPr>
                <w:rFonts w:ascii="Calibri" w:hAnsi="Calibri" w:cs="Calibri"/>
                <w:b/>
                <w:bCs/>
                <w:color w:val="000000"/>
                <w:sz w:val="22"/>
                <w:szCs w:val="22"/>
                <w:lang w:eastAsia="nl-NL"/>
              </w:rPr>
              <w:t>186</w:t>
            </w:r>
          </w:p>
        </w:tc>
        <w:tc>
          <w:tcPr>
            <w:tcW w:w="1003" w:type="dxa"/>
            <w:tcBorders>
              <w:top w:val="nil"/>
              <w:left w:val="nil"/>
              <w:bottom w:val="single" w:sz="8" w:space="0" w:color="auto"/>
              <w:right w:val="single" w:sz="8" w:space="0" w:color="auto"/>
            </w:tcBorders>
            <w:shd w:val="clear" w:color="auto" w:fill="C6D9F1" w:themeFill="text2" w:themeFillTint="33"/>
            <w:noWrap/>
            <w:vAlign w:val="center"/>
            <w:hideMark/>
          </w:tcPr>
          <w:p w14:paraId="515E65FA" w14:textId="2858D77C" w:rsidR="009625F2" w:rsidRPr="0023005C" w:rsidRDefault="009625F2" w:rsidP="009625F2">
            <w:pPr>
              <w:jc w:val="right"/>
              <w:rPr>
                <w:rFonts w:ascii="Calibri" w:hAnsi="Calibri" w:cs="Calibri"/>
                <w:b/>
                <w:bCs/>
                <w:color w:val="000000"/>
                <w:sz w:val="22"/>
                <w:szCs w:val="22"/>
                <w:lang w:eastAsia="nl-NL"/>
              </w:rPr>
            </w:pPr>
            <w:r w:rsidRPr="0023005C">
              <w:rPr>
                <w:rFonts w:ascii="Calibri" w:hAnsi="Calibri" w:cs="Calibri"/>
                <w:b/>
                <w:bCs/>
                <w:color w:val="000000"/>
                <w:sz w:val="22"/>
                <w:szCs w:val="22"/>
                <w:lang w:eastAsia="nl-NL"/>
              </w:rPr>
              <w:t xml:space="preserve">   -1.1</w:t>
            </w:r>
            <w:r w:rsidR="0082013B" w:rsidRPr="0023005C">
              <w:rPr>
                <w:rFonts w:ascii="Calibri" w:hAnsi="Calibri" w:cs="Calibri"/>
                <w:b/>
                <w:bCs/>
                <w:color w:val="000000"/>
                <w:sz w:val="22"/>
                <w:szCs w:val="22"/>
                <w:lang w:eastAsia="nl-NL"/>
              </w:rPr>
              <w:t>93</w:t>
            </w:r>
            <w:r w:rsidRPr="0023005C">
              <w:rPr>
                <w:rFonts w:ascii="Calibri" w:hAnsi="Calibri" w:cs="Calibri"/>
                <w:b/>
                <w:bCs/>
                <w:color w:val="000000"/>
                <w:sz w:val="22"/>
                <w:szCs w:val="22"/>
                <w:lang w:eastAsia="nl-NL"/>
              </w:rPr>
              <w:t xml:space="preserve"> </w:t>
            </w:r>
          </w:p>
        </w:tc>
      </w:tr>
    </w:tbl>
    <w:p w14:paraId="1B0682BF" w14:textId="02EFA11A" w:rsidR="00004AE9" w:rsidRDefault="00004AE9" w:rsidP="00B0623F">
      <w:pPr>
        <w:spacing w:line="276" w:lineRule="auto"/>
      </w:pPr>
    </w:p>
    <w:p w14:paraId="01C9DC6F" w14:textId="62616D2D" w:rsidR="00A91C70" w:rsidRPr="00A91C70" w:rsidRDefault="00A91C70" w:rsidP="00B0623F">
      <w:pPr>
        <w:spacing w:line="276" w:lineRule="auto"/>
        <w:rPr>
          <w:i/>
          <w:iCs/>
          <w:u w:val="single"/>
        </w:rPr>
      </w:pPr>
      <w:bookmarkStart w:id="2" w:name="_Hlk165030860"/>
      <w:bookmarkEnd w:id="1"/>
      <w:r w:rsidRPr="00A91C70">
        <w:rPr>
          <w:i/>
          <w:iCs/>
          <w:u w:val="single"/>
        </w:rPr>
        <w:t>Lasten 2023 ten opzichte van de begroting 2023</w:t>
      </w:r>
    </w:p>
    <w:p w14:paraId="1D853187" w14:textId="089D95D7" w:rsidR="00A91C70" w:rsidRDefault="00A91C70" w:rsidP="00B0623F">
      <w:pPr>
        <w:spacing w:line="276" w:lineRule="auto"/>
      </w:pPr>
      <w:r>
        <w:t>De activiteit “</w:t>
      </w:r>
      <w:r w:rsidRPr="00A91C70">
        <w:t>We bieden onze inwoners maatschappelijke ondersteuning</w:t>
      </w:r>
      <w:r>
        <w:t>” eindigt met een nadelig resultaat van € 1.193.000. Naast verscheidene kleinere voor- en nadelen ligt de voornaamste oorzaak bij:</w:t>
      </w:r>
    </w:p>
    <w:p w14:paraId="556EF5AA" w14:textId="5B20D9E1" w:rsidR="00A91C70" w:rsidRDefault="00A91C70" w:rsidP="000D04CD">
      <w:pPr>
        <w:pStyle w:val="Lijstalinea"/>
        <w:numPr>
          <w:ilvl w:val="0"/>
          <w:numId w:val="1"/>
        </w:numPr>
        <w:spacing w:line="276" w:lineRule="auto"/>
      </w:pPr>
      <w:r>
        <w:t>De herijking van de plekprijzen uit de Regionale inkoop</w:t>
      </w:r>
      <w:r w:rsidR="00104F34">
        <w:t>,</w:t>
      </w:r>
      <w:r>
        <w:t xml:space="preserve"> </w:t>
      </w:r>
      <w:r w:rsidR="00777530">
        <w:t>inclusief begeleiding (individuele overeenkomsten). Het nadeel ten opzichte van de begroting is € 665.000;</w:t>
      </w:r>
    </w:p>
    <w:p w14:paraId="53824337" w14:textId="6331F68B" w:rsidR="00777530" w:rsidRDefault="00A91C70" w:rsidP="000D04CD">
      <w:pPr>
        <w:pStyle w:val="Lijstalinea"/>
        <w:numPr>
          <w:ilvl w:val="0"/>
          <w:numId w:val="1"/>
        </w:numPr>
        <w:spacing w:line="276" w:lineRule="auto"/>
      </w:pPr>
      <w:r>
        <w:t>Het slechts te</w:t>
      </w:r>
      <w:r w:rsidR="00004AE9">
        <w:t>n</w:t>
      </w:r>
      <w:r>
        <w:t xml:space="preserve"> dele invullen van de </w:t>
      </w:r>
      <w:r w:rsidR="006A46FB">
        <w:t>t</w:t>
      </w:r>
      <w:r>
        <w:t>aakstelling op deze activiteit</w:t>
      </w:r>
      <w:r w:rsidR="00777530">
        <w:t xml:space="preserve">. Dit leidt tot een nadeel van </w:t>
      </w:r>
    </w:p>
    <w:p w14:paraId="56D65506" w14:textId="0B338BAE" w:rsidR="00A91C70" w:rsidRDefault="00A91C70" w:rsidP="00777530">
      <w:pPr>
        <w:pStyle w:val="Lijstalinea"/>
        <w:spacing w:line="276" w:lineRule="auto"/>
      </w:pPr>
      <w:r>
        <w:t xml:space="preserve"> € 889.000)</w:t>
      </w:r>
    </w:p>
    <w:p w14:paraId="1D847220" w14:textId="77777777" w:rsidR="0091733F" w:rsidRDefault="0091733F" w:rsidP="00777530">
      <w:pPr>
        <w:pStyle w:val="Lijstalinea"/>
        <w:spacing w:line="276" w:lineRule="auto"/>
      </w:pPr>
    </w:p>
    <w:p w14:paraId="3DE8B597" w14:textId="77777777" w:rsidR="00777530" w:rsidRDefault="00777530" w:rsidP="00B0623F">
      <w:pPr>
        <w:spacing w:line="276" w:lineRule="auto"/>
      </w:pPr>
      <w:r>
        <w:t>Voordelen zijn met name zichtbaar op:</w:t>
      </w:r>
    </w:p>
    <w:p w14:paraId="4E579EFC" w14:textId="27B666A3" w:rsidR="00777530" w:rsidRDefault="00777530" w:rsidP="000D04CD">
      <w:pPr>
        <w:pStyle w:val="Lijstalinea"/>
        <w:numPr>
          <w:ilvl w:val="0"/>
          <w:numId w:val="1"/>
        </w:numPr>
        <w:spacing w:line="276" w:lineRule="auto"/>
      </w:pPr>
      <w:r>
        <w:t xml:space="preserve">Huishoudelijk Hulp (inclusief ondersteuning thuis en herstelgerichte ondersteuning </w:t>
      </w:r>
      <w:r>
        <w:tab/>
        <w:t>€ 169.000</w:t>
      </w:r>
    </w:p>
    <w:p w14:paraId="6E0E6DC0" w14:textId="16536A2D" w:rsidR="00A91C70" w:rsidRDefault="00777530" w:rsidP="000D04CD">
      <w:pPr>
        <w:pStyle w:val="Lijstalinea"/>
        <w:numPr>
          <w:ilvl w:val="0"/>
          <w:numId w:val="1"/>
        </w:numPr>
        <w:spacing w:line="276" w:lineRule="auto"/>
      </w:pPr>
      <w:r>
        <w:t>“</w:t>
      </w:r>
      <w:r w:rsidR="45363781">
        <w:t>Oude</w:t>
      </w:r>
      <w:r>
        <w:t xml:space="preserve"> voorzieningen” (Rolstoelen, vervoersvoorzieningen en </w:t>
      </w:r>
      <w:r w:rsidR="3BF372A3">
        <w:t xml:space="preserve">woonvoorzieningen) </w:t>
      </w:r>
      <w:r>
        <w:tab/>
        <w:t>€    98.000</w:t>
      </w:r>
    </w:p>
    <w:p w14:paraId="6573A82B" w14:textId="6D7A5A79" w:rsidR="00777530" w:rsidRDefault="00777530" w:rsidP="000D04CD">
      <w:pPr>
        <w:pStyle w:val="Lijstalinea"/>
        <w:numPr>
          <w:ilvl w:val="0"/>
          <w:numId w:val="1"/>
        </w:numPr>
        <w:spacing w:line="276" w:lineRule="auto"/>
      </w:pPr>
      <w:r>
        <w:t>Persoonsgebonden budget</w:t>
      </w:r>
      <w:r>
        <w:tab/>
      </w:r>
      <w:r>
        <w:tab/>
      </w:r>
      <w:r>
        <w:tab/>
      </w:r>
      <w:r>
        <w:tab/>
      </w:r>
      <w:r>
        <w:tab/>
      </w:r>
      <w:r>
        <w:tab/>
      </w:r>
      <w:r>
        <w:tab/>
      </w:r>
      <w:r>
        <w:tab/>
        <w:t>€    61.000</w:t>
      </w:r>
    </w:p>
    <w:p w14:paraId="6E0056CE" w14:textId="77777777" w:rsidR="00777530" w:rsidRDefault="00777530" w:rsidP="00B0623F">
      <w:pPr>
        <w:spacing w:line="276" w:lineRule="auto"/>
      </w:pPr>
    </w:p>
    <w:p w14:paraId="10446FE4" w14:textId="77777777" w:rsidR="0091733F" w:rsidRDefault="00777530" w:rsidP="00B0623F">
      <w:pPr>
        <w:spacing w:line="276" w:lineRule="auto"/>
      </w:pPr>
      <w:r>
        <w:lastRenderedPageBreak/>
        <w:t xml:space="preserve">Met ingang van 2023 </w:t>
      </w:r>
      <w:r w:rsidR="00004AE9">
        <w:t xml:space="preserve">zijn </w:t>
      </w:r>
      <w:r>
        <w:t xml:space="preserve">de </w:t>
      </w:r>
      <w:r w:rsidR="00004AE9">
        <w:t xml:space="preserve">bedragen in de </w:t>
      </w:r>
      <w:r>
        <w:t xml:space="preserve">begroting anders opgebouwd. Er wordt naast indexering rekening gehouden met de demografische ontwikkeling van Berkelland, op basis van het VNG Voorspelmodel Wmo. </w:t>
      </w:r>
      <w:r w:rsidR="00577D08">
        <w:t>Dit leidt</w:t>
      </w:r>
      <w:r w:rsidR="00004AE9">
        <w:t xml:space="preserve"> ertoe</w:t>
      </w:r>
      <w:r w:rsidR="00577D08">
        <w:t xml:space="preserve"> dat de bedragen</w:t>
      </w:r>
      <w:r w:rsidR="00004AE9">
        <w:t>,</w:t>
      </w:r>
      <w:r w:rsidR="00577D08">
        <w:t xml:space="preserve"> die in de begroting zijn opgenomen</w:t>
      </w:r>
      <w:r w:rsidR="00004AE9">
        <w:t>,</w:t>
      </w:r>
      <w:r w:rsidR="00577D08">
        <w:t xml:space="preserve"> </w:t>
      </w:r>
      <w:r w:rsidR="00004AE9">
        <w:t>reëel en onderbouwd</w:t>
      </w:r>
      <w:r w:rsidR="00577D08">
        <w:t xml:space="preserve"> zijn. </w:t>
      </w:r>
    </w:p>
    <w:p w14:paraId="2FD8E24B" w14:textId="41B0688B" w:rsidR="00A91C70" w:rsidRDefault="0091733F" w:rsidP="00B0623F">
      <w:pPr>
        <w:spacing w:line="276" w:lineRule="auto"/>
      </w:pPr>
      <w:r>
        <w:t>Het biedt ook de mogelijkheid om</w:t>
      </w:r>
      <w:r w:rsidR="00577D08">
        <w:t xml:space="preserve"> voordel</w:t>
      </w:r>
      <w:r>
        <w:t>en</w:t>
      </w:r>
      <w:r w:rsidR="00577D08">
        <w:t xml:space="preserve"> d</w:t>
      </w:r>
      <w:r>
        <w:t>ie</w:t>
      </w:r>
      <w:r w:rsidR="00577D08">
        <w:t xml:space="preserve"> op onderdelen gerealiseerd word</w:t>
      </w:r>
      <w:r>
        <w:t>en</w:t>
      </w:r>
      <w:r w:rsidR="00104F34">
        <w:t>,</w:t>
      </w:r>
      <w:r w:rsidR="00577D08">
        <w:t xml:space="preserve"> </w:t>
      </w:r>
      <w:r>
        <w:t>als</w:t>
      </w:r>
      <w:r w:rsidR="00577D08">
        <w:t xml:space="preserve"> gevolg van </w:t>
      </w:r>
      <w:r w:rsidR="00004AE9">
        <w:t>s</w:t>
      </w:r>
      <w:r w:rsidR="00577D08">
        <w:t>turingsmaatregelen die Berkelland inzet</w:t>
      </w:r>
      <w:r>
        <w:t>, in beeld te krijgen</w:t>
      </w:r>
      <w:r w:rsidR="00577D08">
        <w:t xml:space="preserve">. </w:t>
      </w:r>
      <w:r>
        <w:t xml:space="preserve">Daarbij moet ook  rekening gehouden worden met de </w:t>
      </w:r>
      <w:r w:rsidR="00577D08">
        <w:t>mogelijk</w:t>
      </w:r>
      <w:r w:rsidR="006A46FB">
        <w:t>heid</w:t>
      </w:r>
      <w:r w:rsidR="00577D08">
        <w:t xml:space="preserve"> dat de arbeidsmarktsituatie leidt tot wachtlijsten bij zorgaanbieders waardoor een dempend effect op de zorg</w:t>
      </w:r>
      <w:r>
        <w:t>lasten</w:t>
      </w:r>
      <w:r w:rsidR="00577D08">
        <w:t xml:space="preserve"> optreedt. In de loop van 2024 wordt de ontwikkeling van de lasten nauwgezet gevolgd zodat </w:t>
      </w:r>
      <w:r w:rsidR="002B219B">
        <w:t>d</w:t>
      </w:r>
      <w:r w:rsidR="004A6CFA">
        <w:t>it</w:t>
      </w:r>
      <w:r w:rsidR="002B219B">
        <w:t xml:space="preserve"> nader </w:t>
      </w:r>
      <w:r w:rsidR="38F823E4">
        <w:t>geduid</w:t>
      </w:r>
      <w:r w:rsidR="002B219B">
        <w:t xml:space="preserve"> </w:t>
      </w:r>
      <w:r w:rsidR="00577D08">
        <w:t>kan worden.</w:t>
      </w:r>
    </w:p>
    <w:bookmarkEnd w:id="2"/>
    <w:p w14:paraId="407E51A0" w14:textId="77777777" w:rsidR="00577D08" w:rsidRDefault="00577D08" w:rsidP="00B0623F">
      <w:pPr>
        <w:spacing w:line="276" w:lineRule="auto"/>
      </w:pPr>
    </w:p>
    <w:p w14:paraId="032D8371" w14:textId="0DB800DD" w:rsidR="00777530" w:rsidRPr="00777530" w:rsidRDefault="00777530" w:rsidP="00B0623F">
      <w:pPr>
        <w:spacing w:line="276" w:lineRule="auto"/>
        <w:rPr>
          <w:i/>
          <w:iCs/>
          <w:u w:val="single"/>
        </w:rPr>
      </w:pPr>
      <w:bookmarkStart w:id="3" w:name="_Hlk165032218"/>
      <w:r w:rsidRPr="00777530">
        <w:rPr>
          <w:i/>
          <w:iCs/>
          <w:u w:val="single"/>
        </w:rPr>
        <w:t>Realisatie 2023 ten opzichte van de realisatie 2022</w:t>
      </w:r>
    </w:p>
    <w:p w14:paraId="66A0477C" w14:textId="74B49760" w:rsidR="00B70BDA" w:rsidRDefault="00591730">
      <w:pPr>
        <w:spacing w:line="276" w:lineRule="auto"/>
      </w:pPr>
      <w:bookmarkStart w:id="4" w:name="_Hlk165032339"/>
      <w:bookmarkEnd w:id="3"/>
      <w:r>
        <w:t xml:space="preserve">Zoals te zien is in </w:t>
      </w:r>
      <w:r w:rsidR="002B219B">
        <w:t>voorgaan</w:t>
      </w:r>
      <w:r>
        <w:t>de tabel, kent</w:t>
      </w:r>
      <w:r w:rsidR="006A46FB">
        <w:t xml:space="preserve"> de realisatie</w:t>
      </w:r>
      <w:r w:rsidR="00B033F4">
        <w:t xml:space="preserve"> </w:t>
      </w:r>
      <w:r w:rsidR="005F66E5">
        <w:t>in 20</w:t>
      </w:r>
      <w:r w:rsidR="008E23EB">
        <w:t>2</w:t>
      </w:r>
      <w:r w:rsidR="0057066A">
        <w:t>3</w:t>
      </w:r>
      <w:r w:rsidR="005F66E5">
        <w:t xml:space="preserve"> </w:t>
      </w:r>
      <w:r>
        <w:t>ten opzichte van de jaarrekening 20</w:t>
      </w:r>
      <w:r w:rsidR="0007655E">
        <w:t>2</w:t>
      </w:r>
      <w:r w:rsidR="0057066A">
        <w:t>2</w:t>
      </w:r>
      <w:r>
        <w:t xml:space="preserve"> </w:t>
      </w:r>
      <w:r w:rsidR="0007655E">
        <w:t>een lastenstijging van €</w:t>
      </w:r>
      <w:r w:rsidR="00B70BDA">
        <w:t xml:space="preserve"> 524</w:t>
      </w:r>
      <w:r w:rsidR="00DB1512">
        <w:t>.000</w:t>
      </w:r>
      <w:r w:rsidR="00E75B11">
        <w:t xml:space="preserve"> </w:t>
      </w:r>
      <w:r w:rsidR="00560E63">
        <w:t>(</w:t>
      </w:r>
      <w:r w:rsidR="00E75B11">
        <w:t>202</w:t>
      </w:r>
      <w:r w:rsidR="00B70BDA">
        <w:t>2</w:t>
      </w:r>
      <w:r w:rsidR="00E75B11">
        <w:t xml:space="preserve"> € </w:t>
      </w:r>
      <w:r w:rsidR="00B70BDA">
        <w:t>11.662</w:t>
      </w:r>
      <w:r w:rsidR="00E75B11">
        <w:t xml:space="preserve"> en 202</w:t>
      </w:r>
      <w:r w:rsidR="002B219B">
        <w:t>3</w:t>
      </w:r>
      <w:r w:rsidR="00E75B11">
        <w:t xml:space="preserve"> € </w:t>
      </w:r>
      <w:r w:rsidR="00B70BDA">
        <w:t>12.186</w:t>
      </w:r>
      <w:r w:rsidR="00E75B11">
        <w:t>).</w:t>
      </w:r>
      <w:r w:rsidR="00467B2E">
        <w:t xml:space="preserve"> </w:t>
      </w:r>
      <w:r w:rsidR="00B70BDA">
        <w:t>D</w:t>
      </w:r>
      <w:r w:rsidR="0007655E">
        <w:t xml:space="preserve">e constatering </w:t>
      </w:r>
      <w:r w:rsidR="00B70BDA">
        <w:t xml:space="preserve">is </w:t>
      </w:r>
      <w:r w:rsidR="0007655E">
        <w:t xml:space="preserve">dat de voornaamste lastenstijging zichtbaar is </w:t>
      </w:r>
      <w:r w:rsidR="00B70BDA">
        <w:t xml:space="preserve">bij de posten die gerelateerd zijn aan de Regionale Inkoop. </w:t>
      </w:r>
      <w:bookmarkStart w:id="5" w:name="_Hlk165019862"/>
      <w:r w:rsidR="0091733F">
        <w:t xml:space="preserve">Daarbij is in </w:t>
      </w:r>
      <w:r w:rsidR="007E1CB6">
        <w:t xml:space="preserve">eerste instantie </w:t>
      </w:r>
      <w:r w:rsidR="0091733F">
        <w:t>sprake van</w:t>
      </w:r>
      <w:r w:rsidR="007E1CB6">
        <w:t xml:space="preserve"> een duidelijke lastenverschuiving van Begeleiding </w:t>
      </w:r>
      <w:r w:rsidR="00981ABA">
        <w:t>individueel inclusie</w:t>
      </w:r>
      <w:r w:rsidR="006A46FB">
        <w:t>f</w:t>
      </w:r>
      <w:r w:rsidR="00981ABA">
        <w:t xml:space="preserve"> dagbesteding </w:t>
      </w:r>
      <w:r w:rsidR="0091733F">
        <w:t>(</w:t>
      </w:r>
      <w:r w:rsidR="007E1CB6">
        <w:t xml:space="preserve">vanuit het Open House model P*Q) naar Regionale Inkoop. </w:t>
      </w:r>
      <w:r w:rsidR="0091733F">
        <w:t xml:space="preserve">Dit </w:t>
      </w:r>
      <w:r w:rsidR="006A46FB">
        <w:t xml:space="preserve">is </w:t>
      </w:r>
      <w:r w:rsidR="0091733F">
        <w:t>omdat</w:t>
      </w:r>
      <w:r w:rsidR="24939123">
        <w:t xml:space="preserve"> </w:t>
      </w:r>
      <w:r w:rsidR="007E1CB6">
        <w:t>2023 het eerste boekjaar is waarin de Regionale Inkoop het hele jaar van toepassing is geweest</w:t>
      </w:r>
      <w:bookmarkEnd w:id="4"/>
      <w:r w:rsidR="00B70BDA">
        <w:t>.</w:t>
      </w:r>
      <w:r w:rsidR="007E1CB6">
        <w:t xml:space="preserve"> </w:t>
      </w:r>
    </w:p>
    <w:bookmarkEnd w:id="5"/>
    <w:p w14:paraId="69137D9F" w14:textId="77777777" w:rsidR="00B70BDA" w:rsidRDefault="00B70BDA" w:rsidP="00B70BDA">
      <w:pPr>
        <w:spacing w:line="276" w:lineRule="auto"/>
      </w:pPr>
    </w:p>
    <w:p w14:paraId="21314B81" w14:textId="40DECA78" w:rsidR="006A46FB" w:rsidRPr="006A46FB" w:rsidRDefault="006A46FB" w:rsidP="00B70BDA">
      <w:pPr>
        <w:spacing w:line="276" w:lineRule="auto"/>
        <w:rPr>
          <w:i/>
          <w:iCs/>
        </w:rPr>
      </w:pPr>
      <w:r w:rsidRPr="006A46FB">
        <w:rPr>
          <w:i/>
          <w:iCs/>
        </w:rPr>
        <w:t>Tabel lastenontwikkeling in relatie tot de regionale inkoop</w:t>
      </w:r>
      <w:r>
        <w:rPr>
          <w:i/>
          <w:iCs/>
        </w:rPr>
        <w:t xml:space="preserve"> (x1.000)</w:t>
      </w:r>
    </w:p>
    <w:tbl>
      <w:tblPr>
        <w:tblW w:w="9062" w:type="dxa"/>
        <w:tblCellMar>
          <w:left w:w="70" w:type="dxa"/>
          <w:right w:w="70" w:type="dxa"/>
        </w:tblCellMar>
        <w:tblLook w:val="04A0" w:firstRow="1" w:lastRow="0" w:firstColumn="1" w:lastColumn="0" w:noHBand="0" w:noVBand="1"/>
      </w:tblPr>
      <w:tblGrid>
        <w:gridCol w:w="4385"/>
        <w:gridCol w:w="1040"/>
        <w:gridCol w:w="1036"/>
        <w:gridCol w:w="1042"/>
        <w:gridCol w:w="1559"/>
      </w:tblGrid>
      <w:tr w:rsidR="00B70BDA" w:rsidRPr="00735EAE" w14:paraId="188CF6FA" w14:textId="77777777" w:rsidTr="216F7159">
        <w:trPr>
          <w:trHeight w:val="372"/>
        </w:trPr>
        <w:tc>
          <w:tcPr>
            <w:tcW w:w="4385"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center"/>
            <w:hideMark/>
          </w:tcPr>
          <w:p w14:paraId="2BC7352C" w14:textId="77777777" w:rsidR="00B70BDA" w:rsidRPr="00735EAE" w:rsidRDefault="00B70BDA" w:rsidP="00F150C6">
            <w:pPr>
              <w:rPr>
                <w:rFonts w:cs="Calibri"/>
                <w:b/>
                <w:bCs/>
                <w:color w:val="000000"/>
                <w:szCs w:val="21"/>
                <w:lang w:eastAsia="nl-NL"/>
              </w:rPr>
            </w:pPr>
            <w:r w:rsidRPr="00735EAE">
              <w:rPr>
                <w:rFonts w:cs="Calibri"/>
                <w:b/>
                <w:bCs/>
                <w:color w:val="000000"/>
                <w:szCs w:val="21"/>
                <w:lang w:eastAsia="nl-NL"/>
              </w:rPr>
              <w:t>Soort</w:t>
            </w:r>
          </w:p>
        </w:tc>
        <w:tc>
          <w:tcPr>
            <w:tcW w:w="104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3669A41" w14:textId="72150788" w:rsidR="00B70BDA" w:rsidRPr="00735EAE" w:rsidRDefault="00B70BDA" w:rsidP="00F150C6">
            <w:pPr>
              <w:jc w:val="center"/>
              <w:rPr>
                <w:rFonts w:cs="Calibri"/>
                <w:b/>
                <w:bCs/>
                <w:color w:val="000000"/>
                <w:szCs w:val="21"/>
                <w:lang w:eastAsia="nl-NL"/>
              </w:rPr>
            </w:pPr>
            <w:r>
              <w:rPr>
                <w:rFonts w:cs="Calibri"/>
                <w:b/>
                <w:bCs/>
                <w:color w:val="000000"/>
                <w:szCs w:val="21"/>
                <w:lang w:eastAsia="nl-NL"/>
              </w:rPr>
              <w:t>Realisatie 2022</w:t>
            </w:r>
          </w:p>
        </w:tc>
        <w:tc>
          <w:tcPr>
            <w:tcW w:w="1036" w:type="dxa"/>
            <w:tcBorders>
              <w:top w:val="single" w:sz="8" w:space="0" w:color="auto"/>
              <w:left w:val="single" w:sz="4" w:space="0" w:color="auto"/>
              <w:bottom w:val="single" w:sz="8" w:space="0" w:color="auto"/>
              <w:right w:val="single" w:sz="8" w:space="0" w:color="auto"/>
            </w:tcBorders>
            <w:shd w:val="clear" w:color="auto" w:fill="D9D9D9" w:themeFill="background1" w:themeFillShade="D9"/>
            <w:noWrap/>
            <w:vAlign w:val="center"/>
            <w:hideMark/>
          </w:tcPr>
          <w:p w14:paraId="144FAEDB" w14:textId="1EBF13C8" w:rsidR="00B70BDA" w:rsidRPr="00735EAE" w:rsidRDefault="00B70BDA" w:rsidP="00F150C6">
            <w:pPr>
              <w:jc w:val="center"/>
              <w:rPr>
                <w:rFonts w:cs="Calibri"/>
                <w:b/>
                <w:bCs/>
                <w:color w:val="000000"/>
                <w:szCs w:val="21"/>
                <w:lang w:eastAsia="nl-NL"/>
              </w:rPr>
            </w:pPr>
            <w:r w:rsidRPr="00735EAE">
              <w:rPr>
                <w:rFonts w:cs="Calibri"/>
                <w:b/>
                <w:bCs/>
                <w:color w:val="000000"/>
                <w:szCs w:val="21"/>
                <w:lang w:eastAsia="nl-NL"/>
              </w:rPr>
              <w:t>Begroting 2023</w:t>
            </w:r>
          </w:p>
        </w:tc>
        <w:tc>
          <w:tcPr>
            <w:tcW w:w="1042"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4FF3C12E" w14:textId="77777777" w:rsidR="00B70BDA" w:rsidRPr="00735EAE" w:rsidRDefault="00B70BDA" w:rsidP="00F150C6">
            <w:pPr>
              <w:jc w:val="center"/>
              <w:rPr>
                <w:rFonts w:cs="Calibri"/>
                <w:b/>
                <w:bCs/>
                <w:color w:val="000000"/>
                <w:szCs w:val="21"/>
                <w:lang w:eastAsia="nl-NL"/>
              </w:rPr>
            </w:pPr>
            <w:r w:rsidRPr="00735EAE">
              <w:rPr>
                <w:rFonts w:cs="Calibri"/>
                <w:b/>
                <w:bCs/>
                <w:color w:val="000000"/>
                <w:szCs w:val="21"/>
                <w:lang w:eastAsia="nl-NL"/>
              </w:rPr>
              <w:t>Realisatie 2023</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5546CF56" w14:textId="7FF77414" w:rsidR="00B70BDA" w:rsidRPr="00735EAE" w:rsidRDefault="00B70BDA" w:rsidP="3FB6F689">
            <w:pPr>
              <w:jc w:val="center"/>
              <w:rPr>
                <w:rFonts w:cs="Calibri"/>
                <w:b/>
                <w:bCs/>
                <w:color w:val="000000"/>
                <w:lang w:eastAsia="nl-NL"/>
              </w:rPr>
            </w:pPr>
            <w:r w:rsidRPr="216F7159">
              <w:rPr>
                <w:rFonts w:cs="Calibri"/>
                <w:b/>
                <w:bCs/>
                <w:lang w:eastAsia="nl-NL"/>
              </w:rPr>
              <w:t xml:space="preserve">Afwijking </w:t>
            </w:r>
            <w:r w:rsidR="44C84F0C" w:rsidRPr="216F7159">
              <w:rPr>
                <w:rFonts w:cs="Calibri"/>
                <w:b/>
                <w:bCs/>
                <w:lang w:eastAsia="nl-NL"/>
              </w:rPr>
              <w:t>2023 t.o.v.</w:t>
            </w:r>
            <w:r w:rsidR="7939B21B" w:rsidRPr="216F7159">
              <w:rPr>
                <w:rFonts w:cs="Calibri"/>
                <w:b/>
                <w:bCs/>
                <w:lang w:eastAsia="nl-NL"/>
              </w:rPr>
              <w:t xml:space="preserve"> </w:t>
            </w:r>
            <w:r w:rsidRPr="216F7159">
              <w:rPr>
                <w:rFonts w:cs="Calibri"/>
                <w:b/>
                <w:bCs/>
                <w:lang w:eastAsia="nl-NL"/>
              </w:rPr>
              <w:t>2022</w:t>
            </w:r>
          </w:p>
        </w:tc>
      </w:tr>
      <w:tr w:rsidR="007E1CB6" w:rsidRPr="00735EAE" w14:paraId="0E7219BC" w14:textId="77777777" w:rsidTr="216F7159">
        <w:trPr>
          <w:trHeight w:val="372"/>
        </w:trPr>
        <w:tc>
          <w:tcPr>
            <w:tcW w:w="4385" w:type="dxa"/>
            <w:tcBorders>
              <w:top w:val="nil"/>
              <w:left w:val="single" w:sz="8" w:space="0" w:color="auto"/>
              <w:bottom w:val="single" w:sz="8" w:space="0" w:color="auto"/>
              <w:right w:val="single" w:sz="4" w:space="0" w:color="auto"/>
            </w:tcBorders>
            <w:shd w:val="clear" w:color="auto" w:fill="auto"/>
            <w:noWrap/>
            <w:vAlign w:val="center"/>
            <w:hideMark/>
          </w:tcPr>
          <w:p w14:paraId="72EB9B66" w14:textId="77777777" w:rsidR="007E1CB6" w:rsidRPr="00735EAE" w:rsidRDefault="007E1CB6" w:rsidP="007E1CB6">
            <w:pPr>
              <w:rPr>
                <w:rFonts w:cs="Calibri"/>
                <w:color w:val="000000"/>
                <w:szCs w:val="21"/>
                <w:lang w:eastAsia="nl-NL"/>
              </w:rPr>
            </w:pPr>
            <w:r w:rsidRPr="00735EAE">
              <w:rPr>
                <w:rFonts w:cs="Calibri"/>
                <w:color w:val="000000"/>
                <w:szCs w:val="21"/>
                <w:lang w:eastAsia="nl-NL"/>
              </w:rPr>
              <w:t xml:space="preserve">Begeleiding Individueel (inclusief dagbesteding) </w:t>
            </w:r>
          </w:p>
        </w:tc>
        <w:tc>
          <w:tcPr>
            <w:tcW w:w="1040" w:type="dxa"/>
            <w:tcBorders>
              <w:top w:val="single" w:sz="8" w:space="0" w:color="auto"/>
              <w:left w:val="single" w:sz="4" w:space="0" w:color="auto"/>
              <w:bottom w:val="single" w:sz="8" w:space="0" w:color="auto"/>
              <w:right w:val="single" w:sz="4" w:space="0" w:color="auto"/>
            </w:tcBorders>
          </w:tcPr>
          <w:p w14:paraId="67350782" w14:textId="0983502C" w:rsidR="007E1CB6" w:rsidRPr="00735EAE" w:rsidRDefault="007E1CB6" w:rsidP="007E1CB6">
            <w:pPr>
              <w:jc w:val="right"/>
              <w:rPr>
                <w:rFonts w:ascii="Calibri" w:hAnsi="Calibri" w:cs="Calibri"/>
                <w:color w:val="000000"/>
                <w:sz w:val="22"/>
                <w:szCs w:val="22"/>
                <w:lang w:eastAsia="nl-NL"/>
              </w:rPr>
            </w:pPr>
            <w:r w:rsidRPr="002B4F47">
              <w:t>2.881</w:t>
            </w:r>
          </w:p>
        </w:tc>
        <w:tc>
          <w:tcPr>
            <w:tcW w:w="1036" w:type="dxa"/>
            <w:tcBorders>
              <w:top w:val="single" w:sz="8" w:space="0" w:color="auto"/>
              <w:left w:val="single" w:sz="4" w:space="0" w:color="auto"/>
              <w:bottom w:val="single" w:sz="8" w:space="0" w:color="auto"/>
              <w:right w:val="single" w:sz="8" w:space="0" w:color="auto"/>
            </w:tcBorders>
            <w:shd w:val="clear" w:color="auto" w:fill="auto"/>
            <w:noWrap/>
            <w:hideMark/>
          </w:tcPr>
          <w:p w14:paraId="53B59C4D" w14:textId="6A079D0B" w:rsidR="007E1CB6" w:rsidRPr="00735EAE" w:rsidRDefault="007E1CB6" w:rsidP="007E1CB6">
            <w:pPr>
              <w:jc w:val="right"/>
              <w:rPr>
                <w:rFonts w:ascii="Calibri" w:hAnsi="Calibri" w:cs="Calibri"/>
                <w:color w:val="000000"/>
                <w:sz w:val="22"/>
                <w:szCs w:val="22"/>
                <w:lang w:eastAsia="nl-NL"/>
              </w:rPr>
            </w:pPr>
            <w:r w:rsidRPr="002B4F47">
              <w:t>0</w:t>
            </w:r>
          </w:p>
        </w:tc>
        <w:tc>
          <w:tcPr>
            <w:tcW w:w="1042" w:type="dxa"/>
            <w:tcBorders>
              <w:top w:val="nil"/>
              <w:left w:val="nil"/>
              <w:bottom w:val="single" w:sz="8" w:space="0" w:color="auto"/>
              <w:right w:val="single" w:sz="8" w:space="0" w:color="auto"/>
            </w:tcBorders>
            <w:shd w:val="clear" w:color="auto" w:fill="auto"/>
            <w:noWrap/>
            <w:hideMark/>
          </w:tcPr>
          <w:p w14:paraId="793A26BD" w14:textId="1BC901E7" w:rsidR="007E1CB6" w:rsidRPr="00735EAE" w:rsidRDefault="007E1CB6" w:rsidP="007E1CB6">
            <w:pPr>
              <w:jc w:val="right"/>
              <w:rPr>
                <w:rFonts w:ascii="Calibri" w:hAnsi="Calibri" w:cs="Calibri"/>
                <w:color w:val="000000"/>
                <w:sz w:val="22"/>
                <w:szCs w:val="22"/>
                <w:lang w:eastAsia="nl-NL"/>
              </w:rPr>
            </w:pPr>
            <w:r w:rsidRPr="002B4F47">
              <w:t>253</w:t>
            </w:r>
          </w:p>
        </w:tc>
        <w:tc>
          <w:tcPr>
            <w:tcW w:w="1559" w:type="dxa"/>
            <w:tcBorders>
              <w:top w:val="nil"/>
              <w:left w:val="nil"/>
              <w:bottom w:val="single" w:sz="8" w:space="0" w:color="auto"/>
              <w:right w:val="single" w:sz="8" w:space="0" w:color="auto"/>
            </w:tcBorders>
            <w:shd w:val="clear" w:color="auto" w:fill="auto"/>
            <w:noWrap/>
            <w:hideMark/>
          </w:tcPr>
          <w:p w14:paraId="46ED08A9" w14:textId="4856AC87" w:rsidR="007E1CB6" w:rsidRPr="00735EAE" w:rsidRDefault="007E1CB6" w:rsidP="007E1CB6">
            <w:pPr>
              <w:jc w:val="right"/>
              <w:rPr>
                <w:rFonts w:ascii="Calibri" w:hAnsi="Calibri" w:cs="Calibri"/>
                <w:color w:val="000000"/>
                <w:sz w:val="22"/>
                <w:szCs w:val="22"/>
                <w:lang w:eastAsia="nl-NL"/>
              </w:rPr>
            </w:pPr>
            <w:r w:rsidRPr="002B4F47">
              <w:t>2.628</w:t>
            </w:r>
          </w:p>
        </w:tc>
      </w:tr>
      <w:tr w:rsidR="007E1CB6" w:rsidRPr="00735EAE" w14:paraId="27515BF1" w14:textId="77777777" w:rsidTr="216F7159">
        <w:trPr>
          <w:trHeight w:val="372"/>
        </w:trPr>
        <w:tc>
          <w:tcPr>
            <w:tcW w:w="4385" w:type="dxa"/>
            <w:tcBorders>
              <w:top w:val="nil"/>
              <w:left w:val="single" w:sz="8" w:space="0" w:color="auto"/>
              <w:bottom w:val="single" w:sz="8" w:space="0" w:color="auto"/>
              <w:right w:val="single" w:sz="4" w:space="0" w:color="auto"/>
            </w:tcBorders>
            <w:shd w:val="clear" w:color="auto" w:fill="auto"/>
            <w:noWrap/>
            <w:vAlign w:val="center"/>
            <w:hideMark/>
          </w:tcPr>
          <w:p w14:paraId="4A51E8B5" w14:textId="77777777" w:rsidR="007E1CB6" w:rsidRPr="00735EAE" w:rsidRDefault="007E1CB6" w:rsidP="007E1CB6">
            <w:pPr>
              <w:rPr>
                <w:rFonts w:cs="Calibri"/>
                <w:color w:val="000000"/>
                <w:szCs w:val="21"/>
                <w:lang w:eastAsia="nl-NL"/>
              </w:rPr>
            </w:pPr>
            <w:r w:rsidRPr="00735EAE">
              <w:rPr>
                <w:rFonts w:cs="Calibri"/>
                <w:color w:val="000000"/>
                <w:szCs w:val="21"/>
                <w:lang w:eastAsia="nl-NL"/>
              </w:rPr>
              <w:t>Regionale inkoop stelpost risico WMO</w:t>
            </w:r>
          </w:p>
        </w:tc>
        <w:tc>
          <w:tcPr>
            <w:tcW w:w="1040" w:type="dxa"/>
            <w:tcBorders>
              <w:top w:val="single" w:sz="8" w:space="0" w:color="auto"/>
              <w:left w:val="single" w:sz="4" w:space="0" w:color="auto"/>
              <w:bottom w:val="single" w:sz="8" w:space="0" w:color="auto"/>
              <w:right w:val="single" w:sz="4" w:space="0" w:color="auto"/>
            </w:tcBorders>
          </w:tcPr>
          <w:p w14:paraId="0CFD439B" w14:textId="2CA5B017" w:rsidR="007E1CB6" w:rsidRPr="00735EAE" w:rsidRDefault="007E1CB6" w:rsidP="007E1CB6">
            <w:pPr>
              <w:jc w:val="right"/>
              <w:rPr>
                <w:rFonts w:ascii="Calibri" w:hAnsi="Calibri" w:cs="Calibri"/>
                <w:color w:val="000000"/>
                <w:sz w:val="22"/>
                <w:szCs w:val="22"/>
                <w:lang w:eastAsia="nl-NL"/>
              </w:rPr>
            </w:pPr>
            <w:r w:rsidRPr="002B4F47">
              <w:t>0</w:t>
            </w:r>
          </w:p>
        </w:tc>
        <w:tc>
          <w:tcPr>
            <w:tcW w:w="1036" w:type="dxa"/>
            <w:tcBorders>
              <w:top w:val="single" w:sz="8" w:space="0" w:color="auto"/>
              <w:left w:val="single" w:sz="4" w:space="0" w:color="auto"/>
              <w:bottom w:val="single" w:sz="8" w:space="0" w:color="auto"/>
              <w:right w:val="single" w:sz="8" w:space="0" w:color="auto"/>
            </w:tcBorders>
            <w:shd w:val="clear" w:color="auto" w:fill="auto"/>
            <w:noWrap/>
            <w:hideMark/>
          </w:tcPr>
          <w:p w14:paraId="4359566C" w14:textId="0B7D4548" w:rsidR="007E1CB6" w:rsidRPr="00735EAE" w:rsidRDefault="007E1CB6" w:rsidP="007E1CB6">
            <w:pPr>
              <w:jc w:val="right"/>
              <w:rPr>
                <w:rFonts w:ascii="Calibri" w:hAnsi="Calibri" w:cs="Calibri"/>
                <w:color w:val="000000"/>
                <w:sz w:val="22"/>
                <w:szCs w:val="22"/>
                <w:lang w:eastAsia="nl-NL"/>
              </w:rPr>
            </w:pPr>
            <w:r w:rsidRPr="002B4F47">
              <w:t>487</w:t>
            </w:r>
          </w:p>
        </w:tc>
        <w:tc>
          <w:tcPr>
            <w:tcW w:w="1042" w:type="dxa"/>
            <w:tcBorders>
              <w:top w:val="nil"/>
              <w:left w:val="nil"/>
              <w:bottom w:val="single" w:sz="8" w:space="0" w:color="auto"/>
              <w:right w:val="single" w:sz="8" w:space="0" w:color="auto"/>
            </w:tcBorders>
            <w:shd w:val="clear" w:color="auto" w:fill="auto"/>
            <w:noWrap/>
            <w:hideMark/>
          </w:tcPr>
          <w:p w14:paraId="555551F0" w14:textId="6A9079A5" w:rsidR="007E1CB6" w:rsidRPr="00735EAE" w:rsidRDefault="007E1CB6" w:rsidP="007E1CB6">
            <w:pPr>
              <w:jc w:val="right"/>
              <w:rPr>
                <w:rFonts w:ascii="Calibri" w:hAnsi="Calibri" w:cs="Calibri"/>
                <w:color w:val="000000"/>
                <w:sz w:val="22"/>
                <w:szCs w:val="22"/>
                <w:lang w:eastAsia="nl-NL"/>
              </w:rPr>
            </w:pPr>
            <w:r w:rsidRPr="002B4F47">
              <w:t>0 </w:t>
            </w:r>
          </w:p>
        </w:tc>
        <w:tc>
          <w:tcPr>
            <w:tcW w:w="1559" w:type="dxa"/>
            <w:tcBorders>
              <w:top w:val="nil"/>
              <w:left w:val="nil"/>
              <w:bottom w:val="single" w:sz="8" w:space="0" w:color="auto"/>
              <w:right w:val="single" w:sz="8" w:space="0" w:color="auto"/>
            </w:tcBorders>
            <w:shd w:val="clear" w:color="auto" w:fill="auto"/>
            <w:noWrap/>
            <w:hideMark/>
          </w:tcPr>
          <w:p w14:paraId="453542D2" w14:textId="28B4A354" w:rsidR="007E1CB6" w:rsidRPr="00735EAE" w:rsidRDefault="007E1CB6" w:rsidP="007E1CB6">
            <w:pPr>
              <w:jc w:val="right"/>
              <w:rPr>
                <w:rFonts w:ascii="Calibri" w:hAnsi="Calibri" w:cs="Calibri"/>
                <w:color w:val="000000"/>
                <w:sz w:val="22"/>
                <w:szCs w:val="22"/>
                <w:lang w:eastAsia="nl-NL"/>
              </w:rPr>
            </w:pPr>
            <w:r w:rsidRPr="002B4F47">
              <w:t>0</w:t>
            </w:r>
          </w:p>
        </w:tc>
      </w:tr>
      <w:tr w:rsidR="007E1CB6" w:rsidRPr="00735EAE" w14:paraId="433ED0D1" w14:textId="77777777" w:rsidTr="216F7159">
        <w:trPr>
          <w:trHeight w:val="372"/>
        </w:trPr>
        <w:tc>
          <w:tcPr>
            <w:tcW w:w="4385" w:type="dxa"/>
            <w:tcBorders>
              <w:top w:val="nil"/>
              <w:left w:val="single" w:sz="8" w:space="0" w:color="auto"/>
              <w:bottom w:val="single" w:sz="8" w:space="0" w:color="auto"/>
              <w:right w:val="single" w:sz="4" w:space="0" w:color="auto"/>
            </w:tcBorders>
            <w:shd w:val="clear" w:color="auto" w:fill="auto"/>
            <w:noWrap/>
            <w:vAlign w:val="center"/>
            <w:hideMark/>
          </w:tcPr>
          <w:p w14:paraId="7740E45F" w14:textId="77777777" w:rsidR="007E1CB6" w:rsidRPr="00735EAE" w:rsidRDefault="007E1CB6" w:rsidP="007E1CB6">
            <w:pPr>
              <w:rPr>
                <w:rFonts w:cs="Calibri"/>
                <w:color w:val="000000"/>
                <w:szCs w:val="21"/>
                <w:lang w:eastAsia="nl-NL"/>
              </w:rPr>
            </w:pPr>
            <w:r w:rsidRPr="00735EAE">
              <w:rPr>
                <w:rFonts w:cs="Calibri"/>
                <w:color w:val="000000"/>
                <w:szCs w:val="21"/>
                <w:lang w:eastAsia="nl-NL"/>
              </w:rPr>
              <w:t>Regionale inkoop WMO: Ondersteunen</w:t>
            </w:r>
          </w:p>
        </w:tc>
        <w:tc>
          <w:tcPr>
            <w:tcW w:w="1040" w:type="dxa"/>
            <w:tcBorders>
              <w:top w:val="single" w:sz="8" w:space="0" w:color="auto"/>
              <w:left w:val="single" w:sz="4" w:space="0" w:color="auto"/>
              <w:bottom w:val="single" w:sz="8" w:space="0" w:color="auto"/>
              <w:right w:val="single" w:sz="4" w:space="0" w:color="auto"/>
            </w:tcBorders>
          </w:tcPr>
          <w:p w14:paraId="75D2E7BA" w14:textId="266B7F07" w:rsidR="007E1CB6" w:rsidRPr="00735EAE" w:rsidRDefault="007E1CB6" w:rsidP="007E1CB6">
            <w:pPr>
              <w:jc w:val="right"/>
              <w:rPr>
                <w:rFonts w:ascii="Calibri" w:hAnsi="Calibri" w:cs="Calibri"/>
                <w:color w:val="000000"/>
                <w:sz w:val="22"/>
                <w:szCs w:val="22"/>
                <w:lang w:eastAsia="nl-NL"/>
              </w:rPr>
            </w:pPr>
            <w:r w:rsidRPr="002B4F47">
              <w:t>1.838</w:t>
            </w:r>
          </w:p>
        </w:tc>
        <w:tc>
          <w:tcPr>
            <w:tcW w:w="1036" w:type="dxa"/>
            <w:tcBorders>
              <w:top w:val="single" w:sz="8" w:space="0" w:color="auto"/>
              <w:left w:val="single" w:sz="4" w:space="0" w:color="auto"/>
              <w:bottom w:val="single" w:sz="8" w:space="0" w:color="auto"/>
              <w:right w:val="single" w:sz="8" w:space="0" w:color="auto"/>
            </w:tcBorders>
            <w:shd w:val="clear" w:color="auto" w:fill="auto"/>
            <w:noWrap/>
            <w:hideMark/>
          </w:tcPr>
          <w:p w14:paraId="0F85F6B8" w14:textId="3E0A21B4" w:rsidR="007E1CB6" w:rsidRPr="00735EAE" w:rsidRDefault="007E1CB6" w:rsidP="007E1CB6">
            <w:pPr>
              <w:jc w:val="right"/>
              <w:rPr>
                <w:rFonts w:ascii="Calibri" w:hAnsi="Calibri" w:cs="Calibri"/>
                <w:color w:val="000000"/>
                <w:sz w:val="22"/>
                <w:szCs w:val="22"/>
                <w:lang w:eastAsia="nl-NL"/>
              </w:rPr>
            </w:pPr>
            <w:r w:rsidRPr="002B4F47">
              <w:t>4</w:t>
            </w:r>
            <w:r w:rsidR="006A46FB">
              <w:t>.</w:t>
            </w:r>
            <w:r w:rsidRPr="002B4F47">
              <w:t>028</w:t>
            </w:r>
          </w:p>
        </w:tc>
        <w:tc>
          <w:tcPr>
            <w:tcW w:w="1042" w:type="dxa"/>
            <w:tcBorders>
              <w:top w:val="nil"/>
              <w:left w:val="nil"/>
              <w:bottom w:val="single" w:sz="8" w:space="0" w:color="auto"/>
              <w:right w:val="single" w:sz="8" w:space="0" w:color="auto"/>
            </w:tcBorders>
            <w:shd w:val="clear" w:color="auto" w:fill="auto"/>
            <w:noWrap/>
            <w:hideMark/>
          </w:tcPr>
          <w:p w14:paraId="21569B08" w14:textId="17AE78E5" w:rsidR="007E1CB6" w:rsidRPr="00735EAE" w:rsidRDefault="007E1CB6" w:rsidP="007E1CB6">
            <w:pPr>
              <w:jc w:val="right"/>
              <w:rPr>
                <w:rFonts w:ascii="Calibri" w:hAnsi="Calibri" w:cs="Calibri"/>
                <w:color w:val="000000"/>
                <w:sz w:val="22"/>
                <w:szCs w:val="22"/>
                <w:lang w:eastAsia="nl-NL"/>
              </w:rPr>
            </w:pPr>
            <w:r w:rsidRPr="002B4F47">
              <w:t>4.926</w:t>
            </w:r>
          </w:p>
        </w:tc>
        <w:tc>
          <w:tcPr>
            <w:tcW w:w="1559" w:type="dxa"/>
            <w:tcBorders>
              <w:top w:val="nil"/>
              <w:left w:val="nil"/>
              <w:bottom w:val="single" w:sz="8" w:space="0" w:color="auto"/>
              <w:right w:val="single" w:sz="8" w:space="0" w:color="auto"/>
            </w:tcBorders>
            <w:shd w:val="clear" w:color="auto" w:fill="auto"/>
            <w:noWrap/>
            <w:hideMark/>
          </w:tcPr>
          <w:p w14:paraId="12863F80" w14:textId="302A0CE7" w:rsidR="007E1CB6" w:rsidRPr="00735EAE" w:rsidRDefault="007E1CB6" w:rsidP="007E1CB6">
            <w:pPr>
              <w:jc w:val="right"/>
              <w:rPr>
                <w:rFonts w:ascii="Calibri" w:hAnsi="Calibri" w:cs="Calibri"/>
                <w:color w:val="000000"/>
                <w:sz w:val="22"/>
                <w:szCs w:val="22"/>
                <w:lang w:eastAsia="nl-NL"/>
              </w:rPr>
            </w:pPr>
            <w:r>
              <w:t>-</w:t>
            </w:r>
            <w:r w:rsidRPr="002B4F47">
              <w:t>3.088</w:t>
            </w:r>
          </w:p>
        </w:tc>
      </w:tr>
      <w:tr w:rsidR="007E1CB6" w:rsidRPr="00735EAE" w14:paraId="422933AB" w14:textId="77777777" w:rsidTr="216F7159">
        <w:trPr>
          <w:trHeight w:val="372"/>
        </w:trPr>
        <w:tc>
          <w:tcPr>
            <w:tcW w:w="4385" w:type="dxa"/>
            <w:tcBorders>
              <w:top w:val="nil"/>
              <w:left w:val="single" w:sz="8" w:space="0" w:color="auto"/>
              <w:bottom w:val="single" w:sz="8" w:space="0" w:color="auto"/>
              <w:right w:val="single" w:sz="4" w:space="0" w:color="auto"/>
            </w:tcBorders>
            <w:shd w:val="clear" w:color="auto" w:fill="C6D9F1" w:themeFill="text2" w:themeFillTint="33"/>
            <w:noWrap/>
            <w:vAlign w:val="center"/>
            <w:hideMark/>
          </w:tcPr>
          <w:p w14:paraId="5BDDA80F" w14:textId="77777777" w:rsidR="007E1CB6" w:rsidRPr="00735EAE" w:rsidRDefault="007E1CB6" w:rsidP="007E1CB6">
            <w:pPr>
              <w:rPr>
                <w:rFonts w:cs="Calibri"/>
                <w:color w:val="000000"/>
                <w:szCs w:val="21"/>
                <w:lang w:eastAsia="nl-NL"/>
              </w:rPr>
            </w:pPr>
            <w:r w:rsidRPr="00735EAE">
              <w:rPr>
                <w:rFonts w:cs="Calibri"/>
                <w:b/>
                <w:bCs/>
                <w:color w:val="000000"/>
                <w:szCs w:val="21"/>
                <w:lang w:eastAsia="nl-NL"/>
              </w:rPr>
              <w:t>Totaal</w:t>
            </w:r>
          </w:p>
        </w:tc>
        <w:tc>
          <w:tcPr>
            <w:tcW w:w="1040" w:type="dxa"/>
            <w:tcBorders>
              <w:top w:val="single" w:sz="8" w:space="0" w:color="auto"/>
              <w:left w:val="single" w:sz="4" w:space="0" w:color="auto"/>
              <w:bottom w:val="single" w:sz="8" w:space="0" w:color="auto"/>
              <w:right w:val="single" w:sz="4" w:space="0" w:color="auto"/>
            </w:tcBorders>
            <w:shd w:val="clear" w:color="auto" w:fill="C6D9F1" w:themeFill="text2" w:themeFillTint="33"/>
          </w:tcPr>
          <w:p w14:paraId="0DC05195" w14:textId="6A71C90F" w:rsidR="007E1CB6" w:rsidRPr="00735EAE" w:rsidRDefault="007E1CB6" w:rsidP="007E1CB6">
            <w:pPr>
              <w:jc w:val="right"/>
              <w:rPr>
                <w:rFonts w:ascii="Calibri" w:hAnsi="Calibri" w:cs="Calibri"/>
                <w:b/>
                <w:bCs/>
                <w:color w:val="000000"/>
                <w:sz w:val="22"/>
                <w:szCs w:val="22"/>
                <w:lang w:eastAsia="nl-NL"/>
              </w:rPr>
            </w:pPr>
            <w:r w:rsidRPr="002B4F47">
              <w:t>4.719</w:t>
            </w:r>
          </w:p>
        </w:tc>
        <w:tc>
          <w:tcPr>
            <w:tcW w:w="1036" w:type="dxa"/>
            <w:tcBorders>
              <w:top w:val="single" w:sz="8" w:space="0" w:color="auto"/>
              <w:left w:val="single" w:sz="4" w:space="0" w:color="auto"/>
              <w:bottom w:val="single" w:sz="8" w:space="0" w:color="auto"/>
              <w:right w:val="single" w:sz="8" w:space="0" w:color="auto"/>
            </w:tcBorders>
            <w:shd w:val="clear" w:color="auto" w:fill="C6D9F1" w:themeFill="text2" w:themeFillTint="33"/>
            <w:noWrap/>
            <w:hideMark/>
          </w:tcPr>
          <w:p w14:paraId="618521E3" w14:textId="3B2DB5BA" w:rsidR="007E1CB6" w:rsidRPr="00735EAE" w:rsidRDefault="007E1CB6" w:rsidP="007E1CB6">
            <w:pPr>
              <w:jc w:val="right"/>
              <w:rPr>
                <w:rFonts w:ascii="Calibri" w:hAnsi="Calibri" w:cs="Calibri"/>
                <w:color w:val="000000"/>
                <w:sz w:val="22"/>
                <w:szCs w:val="22"/>
                <w:lang w:eastAsia="nl-NL"/>
              </w:rPr>
            </w:pPr>
            <w:r w:rsidRPr="002B4F47">
              <w:t>4.515</w:t>
            </w:r>
          </w:p>
        </w:tc>
        <w:tc>
          <w:tcPr>
            <w:tcW w:w="1042" w:type="dxa"/>
            <w:tcBorders>
              <w:top w:val="nil"/>
              <w:left w:val="nil"/>
              <w:bottom w:val="single" w:sz="8" w:space="0" w:color="auto"/>
              <w:right w:val="single" w:sz="8" w:space="0" w:color="auto"/>
            </w:tcBorders>
            <w:shd w:val="clear" w:color="auto" w:fill="C6D9F1" w:themeFill="text2" w:themeFillTint="33"/>
            <w:noWrap/>
            <w:hideMark/>
          </w:tcPr>
          <w:p w14:paraId="4B71E485" w14:textId="4138C9FA" w:rsidR="007E1CB6" w:rsidRPr="00735EAE" w:rsidRDefault="007E1CB6" w:rsidP="007E1CB6">
            <w:pPr>
              <w:jc w:val="right"/>
              <w:rPr>
                <w:rFonts w:ascii="Calibri" w:hAnsi="Calibri" w:cs="Calibri"/>
                <w:color w:val="000000"/>
                <w:sz w:val="22"/>
                <w:szCs w:val="22"/>
                <w:lang w:eastAsia="nl-NL"/>
              </w:rPr>
            </w:pPr>
            <w:r w:rsidRPr="002B4F47">
              <w:t>5.179</w:t>
            </w:r>
          </w:p>
        </w:tc>
        <w:tc>
          <w:tcPr>
            <w:tcW w:w="1559" w:type="dxa"/>
            <w:tcBorders>
              <w:top w:val="nil"/>
              <w:left w:val="nil"/>
              <w:bottom w:val="single" w:sz="8" w:space="0" w:color="auto"/>
              <w:right w:val="single" w:sz="8" w:space="0" w:color="auto"/>
            </w:tcBorders>
            <w:shd w:val="clear" w:color="auto" w:fill="C6D9F1" w:themeFill="text2" w:themeFillTint="33"/>
            <w:noWrap/>
            <w:hideMark/>
          </w:tcPr>
          <w:p w14:paraId="6B58A119" w14:textId="583DD04F" w:rsidR="007E1CB6" w:rsidRPr="00735EAE" w:rsidRDefault="007E1CB6" w:rsidP="007E1CB6">
            <w:pPr>
              <w:jc w:val="right"/>
              <w:rPr>
                <w:rFonts w:ascii="Calibri" w:hAnsi="Calibri" w:cs="Calibri"/>
                <w:color w:val="000000"/>
                <w:sz w:val="22"/>
                <w:szCs w:val="22"/>
                <w:lang w:eastAsia="nl-NL"/>
              </w:rPr>
            </w:pPr>
            <w:r>
              <w:t>-</w:t>
            </w:r>
            <w:r w:rsidRPr="002B4F47">
              <w:t>460</w:t>
            </w:r>
          </w:p>
        </w:tc>
      </w:tr>
    </w:tbl>
    <w:p w14:paraId="631AABFF" w14:textId="77777777" w:rsidR="007E1CB6" w:rsidRDefault="007E1CB6" w:rsidP="007E1CB6">
      <w:pPr>
        <w:spacing w:line="276" w:lineRule="auto"/>
      </w:pPr>
    </w:p>
    <w:p w14:paraId="24D5FA9E" w14:textId="77777777" w:rsidR="00981ABA" w:rsidRDefault="007E1CB6" w:rsidP="002B219B">
      <w:pPr>
        <w:spacing w:line="276" w:lineRule="auto"/>
      </w:pPr>
      <w:r>
        <w:t xml:space="preserve"> Daarnaast is er sprake van een </w:t>
      </w:r>
      <w:r w:rsidR="00981ABA">
        <w:t xml:space="preserve">toegenomen </w:t>
      </w:r>
      <w:r>
        <w:t>lasten</w:t>
      </w:r>
      <w:r w:rsidR="00981ABA">
        <w:t xml:space="preserve"> als gevolg van </w:t>
      </w:r>
      <w:r>
        <w:t xml:space="preserve">de herijking van de plekprijzen met ingang van 1 juli 2023. Dit heeft geresulteerd in een lastenstijging </w:t>
      </w:r>
      <w:r w:rsidR="001B6609">
        <w:t xml:space="preserve">in de tweede helft van 2023 met € </w:t>
      </w:r>
      <w:r w:rsidR="678A0E7F">
        <w:t xml:space="preserve">342.000 </w:t>
      </w:r>
    </w:p>
    <w:p w14:paraId="1E6AFD7D" w14:textId="2FB92DF8" w:rsidR="006A46FB" w:rsidRDefault="678A0E7F" w:rsidP="002B219B">
      <w:pPr>
        <w:spacing w:line="276" w:lineRule="auto"/>
      </w:pPr>
      <w:r>
        <w:t>(</w:t>
      </w:r>
      <w:r w:rsidR="001B6609">
        <w:t xml:space="preserve">€ 2.634.000) ten opzichte van de eerste helft van 2023 </w:t>
      </w:r>
      <w:r w:rsidR="6B3A611E">
        <w:t>(€</w:t>
      </w:r>
      <w:r w:rsidR="001B6609">
        <w:t xml:space="preserve"> 2.292.000).</w:t>
      </w:r>
    </w:p>
    <w:p w14:paraId="6E25404F" w14:textId="77777777" w:rsidR="006A46FB" w:rsidRDefault="006A46FB">
      <w:r>
        <w:br w:type="page"/>
      </w:r>
    </w:p>
    <w:p w14:paraId="0F93B859" w14:textId="77777777" w:rsidR="00981ABA" w:rsidRDefault="00981ABA" w:rsidP="00B0623F">
      <w:pPr>
        <w:spacing w:line="276" w:lineRule="auto"/>
        <w:rPr>
          <w:b/>
          <w:bCs/>
          <w:iCs/>
          <w:color w:val="808080" w:themeColor="background1" w:themeShade="80"/>
          <w:sz w:val="24"/>
          <w:szCs w:val="32"/>
          <w:u w:val="single"/>
        </w:rPr>
      </w:pPr>
      <w:r w:rsidRPr="00981ABA">
        <w:rPr>
          <w:b/>
          <w:bCs/>
          <w:iCs/>
          <w:color w:val="808080" w:themeColor="background1" w:themeShade="80"/>
          <w:sz w:val="24"/>
          <w:szCs w:val="32"/>
          <w:u w:val="single"/>
        </w:rPr>
        <w:lastRenderedPageBreak/>
        <w:t xml:space="preserve">We bieden onze jonge inwoners en hun ouders/verzorgers jeugdhulp </w:t>
      </w:r>
    </w:p>
    <w:p w14:paraId="42280334" w14:textId="7C38C449" w:rsidR="00591730" w:rsidRPr="00110D9D" w:rsidRDefault="006A46FB" w:rsidP="00B0623F">
      <w:pPr>
        <w:spacing w:line="276" w:lineRule="auto"/>
      </w:pPr>
      <w:r>
        <w:t>We</w:t>
      </w:r>
      <w:r w:rsidR="007C1994" w:rsidRPr="00110D9D">
        <w:t xml:space="preserve"> maken</w:t>
      </w:r>
      <w:r w:rsidR="00591730" w:rsidRPr="00110D9D">
        <w:t xml:space="preserve"> gebruik van onderstaande tabel </w:t>
      </w:r>
      <w:r w:rsidR="000D0591" w:rsidRPr="00110D9D">
        <w:t>met</w:t>
      </w:r>
      <w:r w:rsidR="005F66E5" w:rsidRPr="00110D9D">
        <w:t xml:space="preserve"> </w:t>
      </w:r>
      <w:r w:rsidR="00591730" w:rsidRPr="00110D9D">
        <w:t xml:space="preserve">een </w:t>
      </w:r>
      <w:r w:rsidR="000D0591" w:rsidRPr="00110D9D">
        <w:t xml:space="preserve">verder uitgesplitst </w:t>
      </w:r>
      <w:r w:rsidR="00591730" w:rsidRPr="00110D9D">
        <w:t>overzicht</w:t>
      </w:r>
      <w:r w:rsidR="007C1994" w:rsidRPr="00110D9D">
        <w:t xml:space="preserve"> </w:t>
      </w:r>
      <w:r w:rsidR="00591730" w:rsidRPr="00110D9D">
        <w:t>van de totale lasten per voorziening</w:t>
      </w:r>
      <w:r w:rsidR="005F66E5" w:rsidRPr="00110D9D">
        <w:t xml:space="preserve"> binnen</w:t>
      </w:r>
      <w:r w:rsidR="00981ABA">
        <w:t xml:space="preserve"> deze activiteit</w:t>
      </w:r>
      <w:r w:rsidR="00591730" w:rsidRPr="00110D9D">
        <w:t xml:space="preserve"> in 20</w:t>
      </w:r>
      <w:r w:rsidR="00CB0CAC" w:rsidRPr="00110D9D">
        <w:t>2</w:t>
      </w:r>
      <w:r w:rsidR="00110D9D" w:rsidRPr="00110D9D">
        <w:t>2</w:t>
      </w:r>
      <w:r w:rsidR="00591730" w:rsidRPr="00110D9D">
        <w:t xml:space="preserve"> en in 20</w:t>
      </w:r>
      <w:r w:rsidR="00103AC3" w:rsidRPr="00110D9D">
        <w:t>2</w:t>
      </w:r>
      <w:r w:rsidR="00110D9D" w:rsidRPr="00110D9D">
        <w:t>3</w:t>
      </w:r>
      <w:r>
        <w:t>, o</w:t>
      </w:r>
      <w:r w:rsidRPr="00110D9D">
        <w:t>m dieper</w:t>
      </w:r>
      <w:r>
        <w:t xml:space="preserve"> in te gaan</w:t>
      </w:r>
      <w:r w:rsidRPr="00110D9D">
        <w:t xml:space="preserve"> op de</w:t>
      </w:r>
      <w:r>
        <w:t xml:space="preserve"> lasten uit deze activiteit</w:t>
      </w:r>
      <w:r w:rsidR="00591730" w:rsidRPr="00110D9D">
        <w:t>.</w:t>
      </w:r>
      <w:r w:rsidR="00981ABA">
        <w:t xml:space="preserve"> Daarbij is voor 2023 zowel de begroting als de realisatie opgenomen.</w:t>
      </w:r>
    </w:p>
    <w:p w14:paraId="6FCE25BB" w14:textId="59B91F25" w:rsidR="00981ABA" w:rsidRDefault="00981ABA"/>
    <w:p w14:paraId="560AB4CC" w14:textId="3C006346" w:rsidR="00110D9D" w:rsidRPr="00110D9D" w:rsidRDefault="006E0BCE" w:rsidP="00B0623F">
      <w:pPr>
        <w:spacing w:line="276" w:lineRule="auto"/>
      </w:pPr>
      <w:r w:rsidRPr="216F7159">
        <w:rPr>
          <w:i/>
          <w:iCs/>
        </w:rPr>
        <w:t xml:space="preserve">Tabel </w:t>
      </w:r>
      <w:bookmarkStart w:id="6" w:name="_Hlk166654484"/>
      <w:r w:rsidR="00981ABA">
        <w:rPr>
          <w:i/>
          <w:iCs/>
        </w:rPr>
        <w:t>We bieden onze jonge inwoners en hun ouders/verzorger jeugdhulp</w:t>
      </w:r>
      <w:bookmarkEnd w:id="6"/>
      <w:r w:rsidRPr="216F7159">
        <w:rPr>
          <w:i/>
          <w:iCs/>
        </w:rPr>
        <w:t>. Lasten per voorziening Jeugdhulp 202</w:t>
      </w:r>
      <w:r w:rsidR="00110D9D" w:rsidRPr="216F7159">
        <w:rPr>
          <w:i/>
          <w:iCs/>
        </w:rPr>
        <w:t>2</w:t>
      </w:r>
      <w:r w:rsidRPr="216F7159">
        <w:rPr>
          <w:i/>
          <w:iCs/>
        </w:rPr>
        <w:t xml:space="preserve"> en </w:t>
      </w:r>
      <w:r w:rsidR="3B96B112">
        <w:t>2023 (</w:t>
      </w:r>
      <w:r>
        <w:t xml:space="preserve">peildatum </w:t>
      </w:r>
      <w:r w:rsidR="00110D9D">
        <w:t>2</w:t>
      </w:r>
      <w:r>
        <w:t xml:space="preserve"> </w:t>
      </w:r>
      <w:r w:rsidR="00110D9D">
        <w:t>april</w:t>
      </w:r>
      <w:r>
        <w:t xml:space="preserve"> 202</w:t>
      </w:r>
      <w:r w:rsidR="00110D9D">
        <w:t>4</w:t>
      </w:r>
      <w:r>
        <w:t>)</w:t>
      </w:r>
    </w:p>
    <w:p w14:paraId="5D3EE62F" w14:textId="18AD93C5" w:rsidR="00CB0CAC" w:rsidRDefault="00560E63" w:rsidP="00B0623F">
      <w:pPr>
        <w:spacing w:line="276" w:lineRule="auto"/>
      </w:pPr>
      <w:r w:rsidRPr="00110D9D">
        <w:t>(</w:t>
      </w:r>
      <w:r w:rsidR="006E0BCE" w:rsidRPr="00110D9D">
        <w:t>x 1.000)</w:t>
      </w:r>
    </w:p>
    <w:tbl>
      <w:tblPr>
        <w:tblW w:w="9204" w:type="dxa"/>
        <w:tblCellMar>
          <w:left w:w="70" w:type="dxa"/>
          <w:right w:w="70" w:type="dxa"/>
        </w:tblCellMar>
        <w:tblLook w:val="04A0" w:firstRow="1" w:lastRow="0" w:firstColumn="1" w:lastColumn="0" w:noHBand="0" w:noVBand="1"/>
      </w:tblPr>
      <w:tblGrid>
        <w:gridCol w:w="3534"/>
        <w:gridCol w:w="1418"/>
        <w:gridCol w:w="1559"/>
        <w:gridCol w:w="1417"/>
        <w:gridCol w:w="1276"/>
      </w:tblGrid>
      <w:tr w:rsidR="002B19F9" w:rsidRPr="002B19F9" w14:paraId="1ED87370" w14:textId="77777777" w:rsidTr="002B19F9">
        <w:trPr>
          <w:trHeight w:val="360"/>
        </w:trPr>
        <w:tc>
          <w:tcPr>
            <w:tcW w:w="35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83B9F5D" w14:textId="77777777" w:rsidR="002B19F9" w:rsidRPr="002B19F9" w:rsidRDefault="002B19F9" w:rsidP="002B19F9">
            <w:pPr>
              <w:rPr>
                <w:rFonts w:cs="Arial"/>
                <w:b/>
                <w:bCs/>
                <w:color w:val="000000"/>
                <w:szCs w:val="21"/>
                <w:lang w:eastAsia="nl-NL"/>
              </w:rPr>
            </w:pPr>
            <w:r w:rsidRPr="002B19F9">
              <w:rPr>
                <w:rFonts w:cs="Arial"/>
                <w:b/>
                <w:bCs/>
                <w:color w:val="000000"/>
                <w:szCs w:val="21"/>
                <w:lang w:eastAsia="nl-NL"/>
              </w:rPr>
              <w:t>Soort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25DAFFD" w14:textId="77777777" w:rsidR="002B19F9" w:rsidRPr="002B19F9" w:rsidRDefault="002B19F9" w:rsidP="002B19F9">
            <w:pPr>
              <w:jc w:val="center"/>
              <w:rPr>
                <w:rFonts w:cs="Arial"/>
                <w:b/>
                <w:bCs/>
                <w:color w:val="000000"/>
                <w:szCs w:val="21"/>
                <w:lang w:eastAsia="nl-NL"/>
              </w:rPr>
            </w:pPr>
            <w:r w:rsidRPr="002B19F9">
              <w:rPr>
                <w:rFonts w:cs="Arial"/>
                <w:b/>
                <w:bCs/>
                <w:color w:val="000000"/>
                <w:szCs w:val="21"/>
                <w:lang w:eastAsia="nl-NL"/>
              </w:rPr>
              <w:t>Realisatie 2022</w:t>
            </w:r>
          </w:p>
        </w:tc>
        <w:tc>
          <w:tcPr>
            <w:tcW w:w="1559" w:type="dxa"/>
            <w:tcBorders>
              <w:top w:val="single" w:sz="8" w:space="0" w:color="auto"/>
              <w:left w:val="nil"/>
              <w:bottom w:val="nil"/>
              <w:right w:val="single" w:sz="8" w:space="0" w:color="auto"/>
            </w:tcBorders>
            <w:shd w:val="clear" w:color="000000" w:fill="D9D9D9"/>
            <w:vAlign w:val="center"/>
            <w:hideMark/>
          </w:tcPr>
          <w:p w14:paraId="6F356AC1" w14:textId="77777777" w:rsidR="002B19F9" w:rsidRPr="002B19F9" w:rsidRDefault="002B19F9" w:rsidP="002B19F9">
            <w:pPr>
              <w:jc w:val="center"/>
              <w:rPr>
                <w:rFonts w:cs="Arial"/>
                <w:b/>
                <w:bCs/>
                <w:color w:val="000000"/>
                <w:szCs w:val="21"/>
                <w:lang w:eastAsia="nl-NL"/>
              </w:rPr>
            </w:pPr>
            <w:r w:rsidRPr="002B19F9">
              <w:rPr>
                <w:rFonts w:cs="Arial"/>
                <w:b/>
                <w:bCs/>
                <w:color w:val="000000"/>
                <w:szCs w:val="21"/>
                <w:lang w:eastAsia="nl-NL"/>
              </w:rPr>
              <w:t>Begroting</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F4D52E4" w14:textId="77777777" w:rsidR="002B19F9" w:rsidRPr="002B19F9" w:rsidRDefault="002B19F9" w:rsidP="002B19F9">
            <w:pPr>
              <w:jc w:val="center"/>
              <w:rPr>
                <w:rFonts w:cs="Arial"/>
                <w:b/>
                <w:bCs/>
                <w:color w:val="000000"/>
                <w:szCs w:val="21"/>
                <w:lang w:eastAsia="nl-NL"/>
              </w:rPr>
            </w:pPr>
            <w:r w:rsidRPr="002B19F9">
              <w:rPr>
                <w:rFonts w:cs="Arial"/>
                <w:b/>
                <w:bCs/>
                <w:color w:val="000000"/>
                <w:szCs w:val="21"/>
                <w:lang w:eastAsia="nl-NL"/>
              </w:rPr>
              <w:t>Realisatie 2023</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0471DA83" w14:textId="3968326E" w:rsidR="002B19F9" w:rsidRPr="002B19F9" w:rsidRDefault="002B19F9" w:rsidP="002B19F9">
            <w:pPr>
              <w:jc w:val="center"/>
              <w:rPr>
                <w:rFonts w:cs="Arial"/>
                <w:b/>
                <w:bCs/>
                <w:color w:val="000000"/>
                <w:szCs w:val="21"/>
                <w:lang w:eastAsia="nl-NL"/>
              </w:rPr>
            </w:pPr>
            <w:r w:rsidRPr="002B19F9">
              <w:rPr>
                <w:rFonts w:cs="Arial"/>
                <w:b/>
                <w:bCs/>
                <w:color w:val="000000"/>
                <w:szCs w:val="21"/>
                <w:lang w:eastAsia="nl-NL"/>
              </w:rPr>
              <w:t>Afwijking 2023</w:t>
            </w:r>
          </w:p>
        </w:tc>
      </w:tr>
      <w:tr w:rsidR="002B19F9" w:rsidRPr="002B19F9" w14:paraId="609AB0A4" w14:textId="77777777" w:rsidTr="002B19F9">
        <w:trPr>
          <w:trHeight w:val="372"/>
        </w:trPr>
        <w:tc>
          <w:tcPr>
            <w:tcW w:w="3534" w:type="dxa"/>
            <w:vMerge/>
            <w:tcBorders>
              <w:top w:val="single" w:sz="8" w:space="0" w:color="auto"/>
              <w:left w:val="single" w:sz="8" w:space="0" w:color="auto"/>
              <w:bottom w:val="single" w:sz="8" w:space="0" w:color="000000"/>
              <w:right w:val="single" w:sz="8" w:space="0" w:color="auto"/>
            </w:tcBorders>
            <w:vAlign w:val="center"/>
            <w:hideMark/>
          </w:tcPr>
          <w:p w14:paraId="70D14ABA" w14:textId="77777777" w:rsidR="002B19F9" w:rsidRPr="002B19F9" w:rsidRDefault="002B19F9" w:rsidP="002B19F9">
            <w:pPr>
              <w:rPr>
                <w:rFonts w:cs="Arial"/>
                <w:b/>
                <w:bCs/>
                <w:color w:val="000000"/>
                <w:szCs w:val="21"/>
                <w:lang w:eastAsia="nl-NL"/>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282CC6DF" w14:textId="77777777" w:rsidR="002B19F9" w:rsidRPr="002B19F9" w:rsidRDefault="002B19F9" w:rsidP="002B19F9">
            <w:pPr>
              <w:rPr>
                <w:rFonts w:cs="Arial"/>
                <w:b/>
                <w:bCs/>
                <w:color w:val="000000"/>
                <w:szCs w:val="21"/>
                <w:lang w:eastAsia="nl-NL"/>
              </w:rPr>
            </w:pPr>
          </w:p>
        </w:tc>
        <w:tc>
          <w:tcPr>
            <w:tcW w:w="1559" w:type="dxa"/>
            <w:tcBorders>
              <w:top w:val="nil"/>
              <w:left w:val="nil"/>
              <w:bottom w:val="single" w:sz="8" w:space="0" w:color="auto"/>
              <w:right w:val="single" w:sz="8" w:space="0" w:color="auto"/>
            </w:tcBorders>
            <w:shd w:val="clear" w:color="000000" w:fill="D9D9D9"/>
            <w:vAlign w:val="center"/>
            <w:hideMark/>
          </w:tcPr>
          <w:p w14:paraId="58D611E2" w14:textId="77777777" w:rsidR="002B19F9" w:rsidRPr="002B19F9" w:rsidRDefault="002B19F9" w:rsidP="002B19F9">
            <w:pPr>
              <w:jc w:val="center"/>
              <w:rPr>
                <w:rFonts w:cs="Arial"/>
                <w:b/>
                <w:bCs/>
                <w:color w:val="000000"/>
                <w:szCs w:val="21"/>
                <w:lang w:eastAsia="nl-NL"/>
              </w:rPr>
            </w:pPr>
            <w:r w:rsidRPr="002B19F9">
              <w:rPr>
                <w:rFonts w:cs="Arial"/>
                <w:b/>
                <w:bCs/>
                <w:color w:val="000000"/>
                <w:szCs w:val="21"/>
                <w:lang w:eastAsia="nl-NL"/>
              </w:rPr>
              <w:t>2022</w:t>
            </w: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2778DFC6" w14:textId="77777777" w:rsidR="002B19F9" w:rsidRPr="002B19F9" w:rsidRDefault="002B19F9" w:rsidP="002B19F9">
            <w:pPr>
              <w:rPr>
                <w:rFonts w:cs="Arial"/>
                <w:b/>
                <w:bCs/>
                <w:color w:val="000000"/>
                <w:szCs w:val="21"/>
                <w:lang w:eastAsia="nl-NL"/>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32D6C25" w14:textId="77777777" w:rsidR="002B19F9" w:rsidRPr="002B19F9" w:rsidRDefault="002B19F9" w:rsidP="002B19F9">
            <w:pPr>
              <w:rPr>
                <w:rFonts w:cs="Arial"/>
                <w:b/>
                <w:bCs/>
                <w:color w:val="000000"/>
                <w:szCs w:val="21"/>
                <w:lang w:eastAsia="nl-NL"/>
              </w:rPr>
            </w:pPr>
          </w:p>
        </w:tc>
      </w:tr>
      <w:tr w:rsidR="002B19F9" w:rsidRPr="002B19F9" w14:paraId="77FD27F0" w14:textId="77777777" w:rsidTr="002B19F9">
        <w:trPr>
          <w:trHeight w:val="372"/>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29775E51" w14:textId="77777777" w:rsidR="002B19F9" w:rsidRPr="002B19F9" w:rsidRDefault="002B19F9" w:rsidP="002B19F9">
            <w:pPr>
              <w:rPr>
                <w:rFonts w:cs="Arial"/>
                <w:color w:val="000000"/>
                <w:szCs w:val="21"/>
                <w:lang w:eastAsia="nl-NL"/>
              </w:rPr>
            </w:pPr>
            <w:r w:rsidRPr="002B19F9">
              <w:rPr>
                <w:rFonts w:cs="Arial"/>
                <w:color w:val="000000"/>
                <w:szCs w:val="21"/>
                <w:lang w:eastAsia="nl-NL"/>
              </w:rPr>
              <w:t>PGB Jeugd</w:t>
            </w:r>
          </w:p>
        </w:tc>
        <w:tc>
          <w:tcPr>
            <w:tcW w:w="1418" w:type="dxa"/>
            <w:tcBorders>
              <w:top w:val="nil"/>
              <w:left w:val="nil"/>
              <w:bottom w:val="single" w:sz="8" w:space="0" w:color="auto"/>
              <w:right w:val="single" w:sz="8" w:space="0" w:color="auto"/>
            </w:tcBorders>
            <w:shd w:val="clear" w:color="auto" w:fill="auto"/>
            <w:noWrap/>
            <w:vAlign w:val="center"/>
            <w:hideMark/>
          </w:tcPr>
          <w:p w14:paraId="636A21FD"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193 </w:t>
            </w:r>
          </w:p>
        </w:tc>
        <w:tc>
          <w:tcPr>
            <w:tcW w:w="1559" w:type="dxa"/>
            <w:tcBorders>
              <w:top w:val="nil"/>
              <w:left w:val="nil"/>
              <w:bottom w:val="single" w:sz="8" w:space="0" w:color="auto"/>
              <w:right w:val="single" w:sz="8" w:space="0" w:color="auto"/>
            </w:tcBorders>
            <w:shd w:val="clear" w:color="auto" w:fill="auto"/>
            <w:noWrap/>
            <w:vAlign w:val="center"/>
            <w:hideMark/>
          </w:tcPr>
          <w:p w14:paraId="79A6DB92"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318 </w:t>
            </w:r>
          </w:p>
        </w:tc>
        <w:tc>
          <w:tcPr>
            <w:tcW w:w="1417" w:type="dxa"/>
            <w:tcBorders>
              <w:top w:val="nil"/>
              <w:left w:val="nil"/>
              <w:bottom w:val="single" w:sz="8" w:space="0" w:color="auto"/>
              <w:right w:val="single" w:sz="8" w:space="0" w:color="auto"/>
            </w:tcBorders>
            <w:shd w:val="clear" w:color="auto" w:fill="auto"/>
            <w:noWrap/>
            <w:vAlign w:val="center"/>
            <w:hideMark/>
          </w:tcPr>
          <w:p w14:paraId="11426920"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243 </w:t>
            </w:r>
          </w:p>
        </w:tc>
        <w:tc>
          <w:tcPr>
            <w:tcW w:w="1276" w:type="dxa"/>
            <w:tcBorders>
              <w:top w:val="nil"/>
              <w:left w:val="nil"/>
              <w:bottom w:val="single" w:sz="8" w:space="0" w:color="auto"/>
              <w:right w:val="single" w:sz="8" w:space="0" w:color="auto"/>
            </w:tcBorders>
            <w:shd w:val="clear" w:color="auto" w:fill="auto"/>
            <w:noWrap/>
            <w:vAlign w:val="center"/>
            <w:hideMark/>
          </w:tcPr>
          <w:p w14:paraId="3BC7B87B"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75 </w:t>
            </w:r>
          </w:p>
        </w:tc>
      </w:tr>
      <w:tr w:rsidR="002B19F9" w:rsidRPr="002B19F9" w14:paraId="5B3D3BFE" w14:textId="77777777" w:rsidTr="002B19F9">
        <w:trPr>
          <w:trHeight w:val="372"/>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45F2198C" w14:textId="77777777" w:rsidR="002B19F9" w:rsidRPr="002B19F9" w:rsidRDefault="002B19F9" w:rsidP="002B19F9">
            <w:pPr>
              <w:rPr>
                <w:rFonts w:cs="Arial"/>
                <w:color w:val="000000"/>
                <w:szCs w:val="21"/>
                <w:lang w:eastAsia="nl-NL"/>
              </w:rPr>
            </w:pPr>
            <w:r w:rsidRPr="002B19F9">
              <w:rPr>
                <w:rFonts w:cs="Arial"/>
                <w:color w:val="000000"/>
                <w:szCs w:val="21"/>
                <w:lang w:eastAsia="nl-NL"/>
              </w:rPr>
              <w:t>Stelpost Jeugd</w:t>
            </w:r>
          </w:p>
        </w:tc>
        <w:tc>
          <w:tcPr>
            <w:tcW w:w="1418" w:type="dxa"/>
            <w:tcBorders>
              <w:top w:val="nil"/>
              <w:left w:val="nil"/>
              <w:bottom w:val="single" w:sz="8" w:space="0" w:color="auto"/>
              <w:right w:val="single" w:sz="8" w:space="0" w:color="auto"/>
            </w:tcBorders>
            <w:shd w:val="clear" w:color="auto" w:fill="auto"/>
            <w:noWrap/>
            <w:vAlign w:val="center"/>
            <w:hideMark/>
          </w:tcPr>
          <w:p w14:paraId="73CAF755"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4C7F7229"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-874 </w:t>
            </w:r>
          </w:p>
        </w:tc>
        <w:tc>
          <w:tcPr>
            <w:tcW w:w="1417" w:type="dxa"/>
            <w:tcBorders>
              <w:top w:val="nil"/>
              <w:left w:val="nil"/>
              <w:bottom w:val="single" w:sz="8" w:space="0" w:color="auto"/>
              <w:right w:val="single" w:sz="8" w:space="0" w:color="auto"/>
            </w:tcBorders>
            <w:shd w:val="clear" w:color="auto" w:fill="auto"/>
            <w:noWrap/>
            <w:vAlign w:val="center"/>
            <w:hideMark/>
          </w:tcPr>
          <w:p w14:paraId="504B7984"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   </w:t>
            </w:r>
          </w:p>
        </w:tc>
        <w:tc>
          <w:tcPr>
            <w:tcW w:w="1276" w:type="dxa"/>
            <w:tcBorders>
              <w:top w:val="nil"/>
              <w:left w:val="nil"/>
              <w:bottom w:val="single" w:sz="8" w:space="0" w:color="auto"/>
              <w:right w:val="single" w:sz="8" w:space="0" w:color="auto"/>
            </w:tcBorders>
            <w:shd w:val="clear" w:color="auto" w:fill="auto"/>
            <w:noWrap/>
            <w:vAlign w:val="center"/>
            <w:hideMark/>
          </w:tcPr>
          <w:p w14:paraId="7A81A8FF"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-874 </w:t>
            </w:r>
          </w:p>
        </w:tc>
      </w:tr>
      <w:tr w:rsidR="002B19F9" w:rsidRPr="002B19F9" w14:paraId="54E19847" w14:textId="77777777" w:rsidTr="002B19F9">
        <w:trPr>
          <w:trHeight w:val="372"/>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573354C4" w14:textId="77777777" w:rsidR="002B19F9" w:rsidRPr="002B19F9" w:rsidRDefault="002B19F9" w:rsidP="002B19F9">
            <w:pPr>
              <w:rPr>
                <w:rFonts w:cs="Arial"/>
                <w:color w:val="000000"/>
                <w:szCs w:val="21"/>
                <w:lang w:eastAsia="nl-NL"/>
              </w:rPr>
            </w:pPr>
            <w:r w:rsidRPr="002B19F9">
              <w:rPr>
                <w:rFonts w:cs="Arial"/>
                <w:color w:val="000000"/>
                <w:szCs w:val="21"/>
                <w:lang w:eastAsia="nl-NL"/>
              </w:rPr>
              <w:t>Jeugd ZIN; landelijke afspraken</w:t>
            </w:r>
          </w:p>
        </w:tc>
        <w:tc>
          <w:tcPr>
            <w:tcW w:w="1418" w:type="dxa"/>
            <w:tcBorders>
              <w:top w:val="nil"/>
              <w:left w:val="nil"/>
              <w:bottom w:val="single" w:sz="8" w:space="0" w:color="auto"/>
              <w:right w:val="single" w:sz="8" w:space="0" w:color="auto"/>
            </w:tcBorders>
            <w:shd w:val="clear" w:color="auto" w:fill="auto"/>
            <w:noWrap/>
            <w:vAlign w:val="center"/>
            <w:hideMark/>
          </w:tcPr>
          <w:p w14:paraId="6747C6B5"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9 </w:t>
            </w:r>
          </w:p>
        </w:tc>
        <w:tc>
          <w:tcPr>
            <w:tcW w:w="1559" w:type="dxa"/>
            <w:tcBorders>
              <w:top w:val="nil"/>
              <w:left w:val="nil"/>
              <w:bottom w:val="single" w:sz="8" w:space="0" w:color="auto"/>
              <w:right w:val="single" w:sz="8" w:space="0" w:color="auto"/>
            </w:tcBorders>
            <w:shd w:val="clear" w:color="auto" w:fill="auto"/>
            <w:noWrap/>
            <w:vAlign w:val="center"/>
            <w:hideMark/>
          </w:tcPr>
          <w:p w14:paraId="479EEFFC"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40 </w:t>
            </w:r>
          </w:p>
        </w:tc>
        <w:tc>
          <w:tcPr>
            <w:tcW w:w="1417" w:type="dxa"/>
            <w:tcBorders>
              <w:top w:val="nil"/>
              <w:left w:val="nil"/>
              <w:bottom w:val="single" w:sz="8" w:space="0" w:color="auto"/>
              <w:right w:val="single" w:sz="8" w:space="0" w:color="auto"/>
            </w:tcBorders>
            <w:shd w:val="clear" w:color="auto" w:fill="auto"/>
            <w:noWrap/>
            <w:vAlign w:val="center"/>
            <w:hideMark/>
          </w:tcPr>
          <w:p w14:paraId="37697568"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28 </w:t>
            </w:r>
          </w:p>
        </w:tc>
        <w:tc>
          <w:tcPr>
            <w:tcW w:w="1276" w:type="dxa"/>
            <w:tcBorders>
              <w:top w:val="nil"/>
              <w:left w:val="nil"/>
              <w:bottom w:val="single" w:sz="8" w:space="0" w:color="auto"/>
              <w:right w:val="single" w:sz="8" w:space="0" w:color="auto"/>
            </w:tcBorders>
            <w:shd w:val="clear" w:color="auto" w:fill="auto"/>
            <w:noWrap/>
            <w:vAlign w:val="center"/>
            <w:hideMark/>
          </w:tcPr>
          <w:p w14:paraId="63C9EEF8"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12 </w:t>
            </w:r>
          </w:p>
        </w:tc>
      </w:tr>
      <w:tr w:rsidR="002B19F9" w:rsidRPr="002B19F9" w14:paraId="3481BF8C" w14:textId="77777777" w:rsidTr="002B19F9">
        <w:trPr>
          <w:trHeight w:val="372"/>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6D9BC31E" w14:textId="77777777" w:rsidR="002B19F9" w:rsidRPr="002B19F9" w:rsidRDefault="002B19F9" w:rsidP="002B19F9">
            <w:pPr>
              <w:rPr>
                <w:rFonts w:cs="Arial"/>
                <w:color w:val="000000"/>
                <w:szCs w:val="21"/>
                <w:lang w:eastAsia="nl-NL"/>
              </w:rPr>
            </w:pPr>
            <w:r w:rsidRPr="002B19F9">
              <w:rPr>
                <w:rFonts w:cs="Arial"/>
                <w:color w:val="000000"/>
                <w:szCs w:val="21"/>
                <w:lang w:eastAsia="nl-NL"/>
              </w:rPr>
              <w:t>Jeugd ZIN; bovenregionale jeugdzorg</w:t>
            </w:r>
          </w:p>
        </w:tc>
        <w:tc>
          <w:tcPr>
            <w:tcW w:w="1418" w:type="dxa"/>
            <w:tcBorders>
              <w:top w:val="nil"/>
              <w:left w:val="nil"/>
              <w:bottom w:val="single" w:sz="8" w:space="0" w:color="auto"/>
              <w:right w:val="single" w:sz="8" w:space="0" w:color="auto"/>
            </w:tcBorders>
            <w:shd w:val="clear" w:color="auto" w:fill="auto"/>
            <w:noWrap/>
            <w:vAlign w:val="center"/>
            <w:hideMark/>
          </w:tcPr>
          <w:p w14:paraId="0B994240"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5 </w:t>
            </w:r>
          </w:p>
        </w:tc>
        <w:tc>
          <w:tcPr>
            <w:tcW w:w="1559" w:type="dxa"/>
            <w:tcBorders>
              <w:top w:val="nil"/>
              <w:left w:val="nil"/>
              <w:bottom w:val="single" w:sz="8" w:space="0" w:color="auto"/>
              <w:right w:val="single" w:sz="8" w:space="0" w:color="auto"/>
            </w:tcBorders>
            <w:shd w:val="clear" w:color="auto" w:fill="auto"/>
            <w:noWrap/>
            <w:vAlign w:val="center"/>
            <w:hideMark/>
          </w:tcPr>
          <w:p w14:paraId="118F378B"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3E527C01"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   </w:t>
            </w:r>
          </w:p>
        </w:tc>
        <w:tc>
          <w:tcPr>
            <w:tcW w:w="1276" w:type="dxa"/>
            <w:tcBorders>
              <w:top w:val="nil"/>
              <w:left w:val="nil"/>
              <w:bottom w:val="single" w:sz="8" w:space="0" w:color="auto"/>
              <w:right w:val="single" w:sz="8" w:space="0" w:color="auto"/>
            </w:tcBorders>
            <w:shd w:val="clear" w:color="auto" w:fill="auto"/>
            <w:noWrap/>
            <w:vAlign w:val="center"/>
            <w:hideMark/>
          </w:tcPr>
          <w:p w14:paraId="7D6C0827"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   </w:t>
            </w:r>
          </w:p>
        </w:tc>
      </w:tr>
      <w:tr w:rsidR="002B19F9" w:rsidRPr="002B19F9" w14:paraId="0921CA20" w14:textId="77777777" w:rsidTr="002B19F9">
        <w:trPr>
          <w:trHeight w:val="372"/>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709E2F9A" w14:textId="77777777" w:rsidR="002B19F9" w:rsidRPr="002B19F9" w:rsidRDefault="002B19F9" w:rsidP="002B19F9">
            <w:pPr>
              <w:rPr>
                <w:rFonts w:cs="Arial"/>
                <w:color w:val="000000"/>
                <w:szCs w:val="21"/>
                <w:lang w:eastAsia="nl-NL"/>
              </w:rPr>
            </w:pPr>
            <w:r w:rsidRPr="002B19F9">
              <w:rPr>
                <w:rFonts w:cs="Arial"/>
                <w:color w:val="000000"/>
                <w:szCs w:val="21"/>
                <w:lang w:eastAsia="nl-NL"/>
              </w:rPr>
              <w:t>Jeugd ZIN; GGZ</w:t>
            </w:r>
          </w:p>
        </w:tc>
        <w:tc>
          <w:tcPr>
            <w:tcW w:w="1418" w:type="dxa"/>
            <w:tcBorders>
              <w:top w:val="nil"/>
              <w:left w:val="nil"/>
              <w:bottom w:val="single" w:sz="8" w:space="0" w:color="auto"/>
              <w:right w:val="single" w:sz="8" w:space="0" w:color="auto"/>
            </w:tcBorders>
            <w:shd w:val="clear" w:color="auto" w:fill="auto"/>
            <w:noWrap/>
            <w:vAlign w:val="center"/>
            <w:hideMark/>
          </w:tcPr>
          <w:p w14:paraId="7F952DAA"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1.414 </w:t>
            </w:r>
          </w:p>
        </w:tc>
        <w:tc>
          <w:tcPr>
            <w:tcW w:w="1559" w:type="dxa"/>
            <w:tcBorders>
              <w:top w:val="nil"/>
              <w:left w:val="nil"/>
              <w:bottom w:val="single" w:sz="8" w:space="0" w:color="auto"/>
              <w:right w:val="single" w:sz="8" w:space="0" w:color="auto"/>
            </w:tcBorders>
            <w:shd w:val="clear" w:color="auto" w:fill="auto"/>
            <w:noWrap/>
            <w:vAlign w:val="center"/>
            <w:hideMark/>
          </w:tcPr>
          <w:p w14:paraId="1905C361"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0D251404"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159 </w:t>
            </w:r>
          </w:p>
        </w:tc>
        <w:tc>
          <w:tcPr>
            <w:tcW w:w="1276" w:type="dxa"/>
            <w:tcBorders>
              <w:top w:val="nil"/>
              <w:left w:val="nil"/>
              <w:bottom w:val="single" w:sz="8" w:space="0" w:color="auto"/>
              <w:right w:val="single" w:sz="8" w:space="0" w:color="auto"/>
            </w:tcBorders>
            <w:shd w:val="clear" w:color="auto" w:fill="auto"/>
            <w:noWrap/>
            <w:vAlign w:val="center"/>
            <w:hideMark/>
          </w:tcPr>
          <w:p w14:paraId="627DA4A2"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-159 </w:t>
            </w:r>
          </w:p>
        </w:tc>
      </w:tr>
      <w:tr w:rsidR="002B19F9" w:rsidRPr="002B19F9" w14:paraId="635D79E8" w14:textId="77777777" w:rsidTr="002B19F9">
        <w:trPr>
          <w:trHeight w:val="372"/>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7053D6FC" w14:textId="77777777" w:rsidR="002B19F9" w:rsidRPr="002B19F9" w:rsidRDefault="002B19F9" w:rsidP="002B19F9">
            <w:pPr>
              <w:rPr>
                <w:rFonts w:cs="Arial"/>
                <w:color w:val="000000"/>
                <w:szCs w:val="21"/>
                <w:lang w:eastAsia="nl-NL"/>
              </w:rPr>
            </w:pPr>
            <w:r w:rsidRPr="002B19F9">
              <w:rPr>
                <w:rFonts w:cs="Arial"/>
                <w:color w:val="000000"/>
                <w:szCs w:val="21"/>
                <w:lang w:eastAsia="nl-NL"/>
              </w:rPr>
              <w:t>Jeugd ZIN; LVB</w:t>
            </w:r>
          </w:p>
        </w:tc>
        <w:tc>
          <w:tcPr>
            <w:tcW w:w="1418" w:type="dxa"/>
            <w:tcBorders>
              <w:top w:val="nil"/>
              <w:left w:val="nil"/>
              <w:bottom w:val="single" w:sz="8" w:space="0" w:color="auto"/>
              <w:right w:val="single" w:sz="8" w:space="0" w:color="auto"/>
            </w:tcBorders>
            <w:shd w:val="clear" w:color="auto" w:fill="auto"/>
            <w:noWrap/>
            <w:vAlign w:val="center"/>
            <w:hideMark/>
          </w:tcPr>
          <w:p w14:paraId="5B6B6593"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13 </w:t>
            </w:r>
          </w:p>
        </w:tc>
        <w:tc>
          <w:tcPr>
            <w:tcW w:w="1559" w:type="dxa"/>
            <w:tcBorders>
              <w:top w:val="nil"/>
              <w:left w:val="nil"/>
              <w:bottom w:val="single" w:sz="8" w:space="0" w:color="auto"/>
              <w:right w:val="single" w:sz="8" w:space="0" w:color="auto"/>
            </w:tcBorders>
            <w:shd w:val="clear" w:color="auto" w:fill="auto"/>
            <w:noWrap/>
            <w:vAlign w:val="center"/>
            <w:hideMark/>
          </w:tcPr>
          <w:p w14:paraId="4224A520"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12DF859C"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1 </w:t>
            </w:r>
          </w:p>
        </w:tc>
        <w:tc>
          <w:tcPr>
            <w:tcW w:w="1276" w:type="dxa"/>
            <w:tcBorders>
              <w:top w:val="nil"/>
              <w:left w:val="nil"/>
              <w:bottom w:val="single" w:sz="8" w:space="0" w:color="auto"/>
              <w:right w:val="single" w:sz="8" w:space="0" w:color="auto"/>
            </w:tcBorders>
            <w:shd w:val="clear" w:color="auto" w:fill="auto"/>
            <w:noWrap/>
            <w:vAlign w:val="center"/>
            <w:hideMark/>
          </w:tcPr>
          <w:p w14:paraId="24156201"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-1 </w:t>
            </w:r>
          </w:p>
        </w:tc>
      </w:tr>
      <w:tr w:rsidR="002B19F9" w:rsidRPr="002B19F9" w14:paraId="4255D4C1" w14:textId="77777777" w:rsidTr="002B19F9">
        <w:trPr>
          <w:trHeight w:val="372"/>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141AA64E" w14:textId="77777777" w:rsidR="002B19F9" w:rsidRPr="002B19F9" w:rsidRDefault="002B19F9" w:rsidP="002B19F9">
            <w:pPr>
              <w:rPr>
                <w:rFonts w:cs="Arial"/>
                <w:color w:val="000000"/>
                <w:szCs w:val="21"/>
                <w:lang w:eastAsia="nl-NL"/>
              </w:rPr>
            </w:pPr>
            <w:r w:rsidRPr="002B19F9">
              <w:rPr>
                <w:rFonts w:cs="Arial"/>
                <w:color w:val="000000"/>
                <w:szCs w:val="21"/>
                <w:lang w:eastAsia="nl-NL"/>
              </w:rPr>
              <w:t>Jeugd ZIN; jeugd en opvoedhulp</w:t>
            </w:r>
          </w:p>
        </w:tc>
        <w:tc>
          <w:tcPr>
            <w:tcW w:w="1418" w:type="dxa"/>
            <w:tcBorders>
              <w:top w:val="nil"/>
              <w:left w:val="nil"/>
              <w:bottom w:val="single" w:sz="8" w:space="0" w:color="auto"/>
              <w:right w:val="single" w:sz="8" w:space="0" w:color="auto"/>
            </w:tcBorders>
            <w:shd w:val="clear" w:color="auto" w:fill="auto"/>
            <w:noWrap/>
            <w:vAlign w:val="center"/>
            <w:hideMark/>
          </w:tcPr>
          <w:p w14:paraId="5D6ABCD3"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5.511 </w:t>
            </w:r>
          </w:p>
        </w:tc>
        <w:tc>
          <w:tcPr>
            <w:tcW w:w="1559" w:type="dxa"/>
            <w:tcBorders>
              <w:top w:val="nil"/>
              <w:left w:val="nil"/>
              <w:bottom w:val="single" w:sz="8" w:space="0" w:color="auto"/>
              <w:right w:val="single" w:sz="8" w:space="0" w:color="auto"/>
            </w:tcBorders>
            <w:shd w:val="clear" w:color="auto" w:fill="auto"/>
            <w:noWrap/>
            <w:vAlign w:val="center"/>
            <w:hideMark/>
          </w:tcPr>
          <w:p w14:paraId="62DAD739"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007F871E"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971 </w:t>
            </w:r>
          </w:p>
        </w:tc>
        <w:tc>
          <w:tcPr>
            <w:tcW w:w="1276" w:type="dxa"/>
            <w:tcBorders>
              <w:top w:val="nil"/>
              <w:left w:val="nil"/>
              <w:bottom w:val="single" w:sz="8" w:space="0" w:color="auto"/>
              <w:right w:val="single" w:sz="8" w:space="0" w:color="auto"/>
            </w:tcBorders>
            <w:shd w:val="clear" w:color="auto" w:fill="auto"/>
            <w:noWrap/>
            <w:vAlign w:val="center"/>
            <w:hideMark/>
          </w:tcPr>
          <w:p w14:paraId="376F4278"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-971 </w:t>
            </w:r>
          </w:p>
        </w:tc>
      </w:tr>
      <w:tr w:rsidR="002B19F9" w:rsidRPr="002B19F9" w14:paraId="029511F2" w14:textId="77777777" w:rsidTr="002B19F9">
        <w:trPr>
          <w:trHeight w:val="372"/>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71CFC946" w14:textId="77777777" w:rsidR="002B19F9" w:rsidRPr="002B19F9" w:rsidRDefault="002B19F9" w:rsidP="002B19F9">
            <w:pPr>
              <w:rPr>
                <w:rFonts w:cs="Arial"/>
                <w:color w:val="000000"/>
                <w:szCs w:val="21"/>
                <w:lang w:eastAsia="nl-NL"/>
              </w:rPr>
            </w:pPr>
            <w:r w:rsidRPr="002B19F9">
              <w:rPr>
                <w:rFonts w:cs="Arial"/>
                <w:color w:val="000000"/>
                <w:szCs w:val="21"/>
                <w:lang w:eastAsia="nl-NL"/>
              </w:rPr>
              <w:t xml:space="preserve">Jeugd ZIN; </w:t>
            </w:r>
            <w:proofErr w:type="spellStart"/>
            <w:r w:rsidRPr="002B19F9">
              <w:rPr>
                <w:rFonts w:cs="Arial"/>
                <w:color w:val="000000"/>
                <w:szCs w:val="21"/>
                <w:lang w:eastAsia="nl-NL"/>
              </w:rPr>
              <w:t>jeno</w:t>
            </w:r>
            <w:proofErr w:type="spellEnd"/>
            <w:r w:rsidRPr="002B19F9">
              <w:rPr>
                <w:rFonts w:cs="Arial"/>
                <w:color w:val="000000"/>
                <w:szCs w:val="21"/>
                <w:lang w:eastAsia="nl-NL"/>
              </w:rPr>
              <w:t xml:space="preserve"> opvang respijtzorg</w:t>
            </w:r>
          </w:p>
        </w:tc>
        <w:tc>
          <w:tcPr>
            <w:tcW w:w="1418" w:type="dxa"/>
            <w:tcBorders>
              <w:top w:val="nil"/>
              <w:left w:val="nil"/>
              <w:bottom w:val="single" w:sz="8" w:space="0" w:color="auto"/>
              <w:right w:val="single" w:sz="8" w:space="0" w:color="auto"/>
            </w:tcBorders>
            <w:shd w:val="clear" w:color="auto" w:fill="auto"/>
            <w:noWrap/>
            <w:vAlign w:val="center"/>
            <w:hideMark/>
          </w:tcPr>
          <w:p w14:paraId="4B69887A"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51 </w:t>
            </w:r>
          </w:p>
        </w:tc>
        <w:tc>
          <w:tcPr>
            <w:tcW w:w="1559" w:type="dxa"/>
            <w:tcBorders>
              <w:top w:val="nil"/>
              <w:left w:val="nil"/>
              <w:bottom w:val="single" w:sz="8" w:space="0" w:color="auto"/>
              <w:right w:val="single" w:sz="8" w:space="0" w:color="auto"/>
            </w:tcBorders>
            <w:shd w:val="clear" w:color="auto" w:fill="auto"/>
            <w:noWrap/>
            <w:vAlign w:val="center"/>
            <w:hideMark/>
          </w:tcPr>
          <w:p w14:paraId="2AA58883"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50 </w:t>
            </w:r>
          </w:p>
        </w:tc>
        <w:tc>
          <w:tcPr>
            <w:tcW w:w="1417" w:type="dxa"/>
            <w:tcBorders>
              <w:top w:val="nil"/>
              <w:left w:val="nil"/>
              <w:bottom w:val="single" w:sz="8" w:space="0" w:color="auto"/>
              <w:right w:val="single" w:sz="8" w:space="0" w:color="auto"/>
            </w:tcBorders>
            <w:shd w:val="clear" w:color="auto" w:fill="auto"/>
            <w:noWrap/>
            <w:vAlign w:val="center"/>
            <w:hideMark/>
          </w:tcPr>
          <w:p w14:paraId="2B72DB6A"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41 </w:t>
            </w:r>
          </w:p>
        </w:tc>
        <w:tc>
          <w:tcPr>
            <w:tcW w:w="1276" w:type="dxa"/>
            <w:tcBorders>
              <w:top w:val="nil"/>
              <w:left w:val="nil"/>
              <w:bottom w:val="single" w:sz="8" w:space="0" w:color="auto"/>
              <w:right w:val="single" w:sz="8" w:space="0" w:color="auto"/>
            </w:tcBorders>
            <w:shd w:val="clear" w:color="auto" w:fill="auto"/>
            <w:noWrap/>
            <w:vAlign w:val="center"/>
            <w:hideMark/>
          </w:tcPr>
          <w:p w14:paraId="70583278"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9 </w:t>
            </w:r>
          </w:p>
        </w:tc>
      </w:tr>
      <w:tr w:rsidR="002B19F9" w:rsidRPr="002B19F9" w14:paraId="6E5DBC98" w14:textId="77777777" w:rsidTr="002B19F9">
        <w:trPr>
          <w:trHeight w:val="372"/>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2BDE1734" w14:textId="77777777" w:rsidR="002B19F9" w:rsidRPr="002B19F9" w:rsidRDefault="002B19F9" w:rsidP="002B19F9">
            <w:pPr>
              <w:rPr>
                <w:rFonts w:cs="Arial"/>
                <w:color w:val="000000"/>
                <w:szCs w:val="21"/>
                <w:lang w:eastAsia="nl-NL"/>
              </w:rPr>
            </w:pPr>
            <w:r w:rsidRPr="002B19F9">
              <w:rPr>
                <w:rFonts w:cs="Arial"/>
                <w:color w:val="000000"/>
                <w:szCs w:val="21"/>
                <w:lang w:eastAsia="nl-NL"/>
              </w:rPr>
              <w:t>Jeugd ZIN; Vervoer</w:t>
            </w:r>
          </w:p>
        </w:tc>
        <w:tc>
          <w:tcPr>
            <w:tcW w:w="1418" w:type="dxa"/>
            <w:tcBorders>
              <w:top w:val="nil"/>
              <w:left w:val="nil"/>
              <w:bottom w:val="single" w:sz="8" w:space="0" w:color="auto"/>
              <w:right w:val="single" w:sz="8" w:space="0" w:color="auto"/>
            </w:tcBorders>
            <w:shd w:val="clear" w:color="auto" w:fill="auto"/>
            <w:noWrap/>
            <w:vAlign w:val="center"/>
            <w:hideMark/>
          </w:tcPr>
          <w:p w14:paraId="022CF8C5"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19 </w:t>
            </w:r>
          </w:p>
        </w:tc>
        <w:tc>
          <w:tcPr>
            <w:tcW w:w="1559" w:type="dxa"/>
            <w:tcBorders>
              <w:top w:val="nil"/>
              <w:left w:val="nil"/>
              <w:bottom w:val="single" w:sz="8" w:space="0" w:color="auto"/>
              <w:right w:val="single" w:sz="8" w:space="0" w:color="auto"/>
            </w:tcBorders>
            <w:shd w:val="clear" w:color="auto" w:fill="auto"/>
            <w:noWrap/>
            <w:vAlign w:val="center"/>
            <w:hideMark/>
          </w:tcPr>
          <w:p w14:paraId="12503DA4"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27 </w:t>
            </w:r>
          </w:p>
        </w:tc>
        <w:tc>
          <w:tcPr>
            <w:tcW w:w="1417" w:type="dxa"/>
            <w:tcBorders>
              <w:top w:val="nil"/>
              <w:left w:val="nil"/>
              <w:bottom w:val="single" w:sz="8" w:space="0" w:color="auto"/>
              <w:right w:val="single" w:sz="8" w:space="0" w:color="auto"/>
            </w:tcBorders>
            <w:shd w:val="clear" w:color="auto" w:fill="auto"/>
            <w:noWrap/>
            <w:vAlign w:val="center"/>
            <w:hideMark/>
          </w:tcPr>
          <w:p w14:paraId="2B59662B"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8 </w:t>
            </w:r>
          </w:p>
        </w:tc>
        <w:tc>
          <w:tcPr>
            <w:tcW w:w="1276" w:type="dxa"/>
            <w:tcBorders>
              <w:top w:val="nil"/>
              <w:left w:val="nil"/>
              <w:bottom w:val="single" w:sz="8" w:space="0" w:color="auto"/>
              <w:right w:val="single" w:sz="8" w:space="0" w:color="auto"/>
            </w:tcBorders>
            <w:shd w:val="clear" w:color="auto" w:fill="auto"/>
            <w:noWrap/>
            <w:vAlign w:val="center"/>
            <w:hideMark/>
          </w:tcPr>
          <w:p w14:paraId="1FB142D6"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19 </w:t>
            </w:r>
          </w:p>
        </w:tc>
      </w:tr>
      <w:tr w:rsidR="002B19F9" w:rsidRPr="002B19F9" w14:paraId="493ADDAE" w14:textId="77777777" w:rsidTr="002B19F9">
        <w:trPr>
          <w:trHeight w:val="372"/>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1D18FD8B" w14:textId="77777777" w:rsidR="002B19F9" w:rsidRPr="002B19F9" w:rsidRDefault="002B19F9" w:rsidP="002B19F9">
            <w:pPr>
              <w:rPr>
                <w:rFonts w:cs="Arial"/>
                <w:color w:val="000000"/>
                <w:szCs w:val="21"/>
                <w:lang w:eastAsia="nl-NL"/>
              </w:rPr>
            </w:pPr>
            <w:r w:rsidRPr="002B19F9">
              <w:rPr>
                <w:rFonts w:cs="Arial"/>
                <w:color w:val="000000"/>
                <w:szCs w:val="21"/>
                <w:lang w:eastAsia="nl-NL"/>
              </w:rPr>
              <w:t>Jeugd Begeleiding</w:t>
            </w:r>
          </w:p>
        </w:tc>
        <w:tc>
          <w:tcPr>
            <w:tcW w:w="1418" w:type="dxa"/>
            <w:tcBorders>
              <w:top w:val="nil"/>
              <w:left w:val="nil"/>
              <w:bottom w:val="single" w:sz="8" w:space="0" w:color="auto"/>
              <w:right w:val="single" w:sz="8" w:space="0" w:color="auto"/>
            </w:tcBorders>
            <w:shd w:val="clear" w:color="auto" w:fill="auto"/>
            <w:noWrap/>
            <w:vAlign w:val="center"/>
            <w:hideMark/>
          </w:tcPr>
          <w:p w14:paraId="62C38DBE"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-1 </w:t>
            </w:r>
          </w:p>
        </w:tc>
        <w:tc>
          <w:tcPr>
            <w:tcW w:w="1559" w:type="dxa"/>
            <w:tcBorders>
              <w:top w:val="nil"/>
              <w:left w:val="nil"/>
              <w:bottom w:val="single" w:sz="8" w:space="0" w:color="auto"/>
              <w:right w:val="single" w:sz="8" w:space="0" w:color="auto"/>
            </w:tcBorders>
            <w:shd w:val="clear" w:color="auto" w:fill="auto"/>
            <w:noWrap/>
            <w:vAlign w:val="center"/>
            <w:hideMark/>
          </w:tcPr>
          <w:p w14:paraId="0321A079"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3C15EB65"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   </w:t>
            </w:r>
          </w:p>
        </w:tc>
        <w:tc>
          <w:tcPr>
            <w:tcW w:w="1276" w:type="dxa"/>
            <w:tcBorders>
              <w:top w:val="nil"/>
              <w:left w:val="nil"/>
              <w:bottom w:val="single" w:sz="8" w:space="0" w:color="auto"/>
              <w:right w:val="single" w:sz="8" w:space="0" w:color="auto"/>
            </w:tcBorders>
            <w:shd w:val="clear" w:color="auto" w:fill="auto"/>
            <w:noWrap/>
            <w:vAlign w:val="center"/>
            <w:hideMark/>
          </w:tcPr>
          <w:p w14:paraId="2FF44654"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   </w:t>
            </w:r>
          </w:p>
        </w:tc>
      </w:tr>
      <w:tr w:rsidR="002B19F9" w:rsidRPr="002B19F9" w14:paraId="5CC8EDBE" w14:textId="77777777" w:rsidTr="002B19F9">
        <w:trPr>
          <w:trHeight w:val="372"/>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72573BE4" w14:textId="77777777" w:rsidR="002B19F9" w:rsidRPr="002B19F9" w:rsidRDefault="002B19F9" w:rsidP="002B19F9">
            <w:pPr>
              <w:rPr>
                <w:rFonts w:cs="Arial"/>
                <w:color w:val="000000"/>
                <w:szCs w:val="21"/>
                <w:lang w:eastAsia="nl-NL"/>
              </w:rPr>
            </w:pPr>
            <w:r w:rsidRPr="002B19F9">
              <w:rPr>
                <w:rFonts w:cs="Arial"/>
                <w:color w:val="000000"/>
                <w:szCs w:val="21"/>
                <w:lang w:eastAsia="nl-NL"/>
              </w:rPr>
              <w:t xml:space="preserve">Reg </w:t>
            </w:r>
            <w:proofErr w:type="spellStart"/>
            <w:r w:rsidRPr="002B19F9">
              <w:rPr>
                <w:rFonts w:cs="Arial"/>
                <w:color w:val="000000"/>
                <w:szCs w:val="21"/>
                <w:lang w:eastAsia="nl-NL"/>
              </w:rPr>
              <w:t>ink</w:t>
            </w:r>
            <w:proofErr w:type="spellEnd"/>
            <w:r w:rsidRPr="002B19F9">
              <w:rPr>
                <w:rFonts w:cs="Arial"/>
                <w:color w:val="000000"/>
                <w:szCs w:val="21"/>
                <w:lang w:eastAsia="nl-NL"/>
              </w:rPr>
              <w:t xml:space="preserve"> stelpost risico Jeugd</w:t>
            </w:r>
          </w:p>
        </w:tc>
        <w:tc>
          <w:tcPr>
            <w:tcW w:w="1418" w:type="dxa"/>
            <w:tcBorders>
              <w:top w:val="nil"/>
              <w:left w:val="nil"/>
              <w:bottom w:val="single" w:sz="8" w:space="0" w:color="auto"/>
              <w:right w:val="single" w:sz="8" w:space="0" w:color="auto"/>
            </w:tcBorders>
            <w:shd w:val="clear" w:color="auto" w:fill="auto"/>
            <w:noWrap/>
            <w:vAlign w:val="center"/>
            <w:hideMark/>
          </w:tcPr>
          <w:p w14:paraId="17A1984F"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2D5CD98E"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960 </w:t>
            </w:r>
          </w:p>
        </w:tc>
        <w:tc>
          <w:tcPr>
            <w:tcW w:w="1417" w:type="dxa"/>
            <w:tcBorders>
              <w:top w:val="nil"/>
              <w:left w:val="nil"/>
              <w:bottom w:val="single" w:sz="8" w:space="0" w:color="auto"/>
              <w:right w:val="single" w:sz="8" w:space="0" w:color="auto"/>
            </w:tcBorders>
            <w:shd w:val="clear" w:color="auto" w:fill="auto"/>
            <w:noWrap/>
            <w:vAlign w:val="center"/>
            <w:hideMark/>
          </w:tcPr>
          <w:p w14:paraId="5E12E1AB"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   </w:t>
            </w:r>
          </w:p>
        </w:tc>
        <w:tc>
          <w:tcPr>
            <w:tcW w:w="1276" w:type="dxa"/>
            <w:tcBorders>
              <w:top w:val="nil"/>
              <w:left w:val="nil"/>
              <w:bottom w:val="single" w:sz="8" w:space="0" w:color="auto"/>
              <w:right w:val="single" w:sz="8" w:space="0" w:color="auto"/>
            </w:tcBorders>
            <w:shd w:val="clear" w:color="auto" w:fill="auto"/>
            <w:noWrap/>
            <w:vAlign w:val="center"/>
            <w:hideMark/>
          </w:tcPr>
          <w:p w14:paraId="15684918"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960 </w:t>
            </w:r>
          </w:p>
        </w:tc>
      </w:tr>
      <w:tr w:rsidR="002B19F9" w:rsidRPr="002B19F9" w14:paraId="1A44110E" w14:textId="77777777" w:rsidTr="002B19F9">
        <w:trPr>
          <w:trHeight w:val="372"/>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23556B91" w14:textId="2996C682" w:rsidR="002B19F9" w:rsidRPr="002B19F9" w:rsidRDefault="002B19F9" w:rsidP="002B19F9">
            <w:pPr>
              <w:rPr>
                <w:rFonts w:cs="Arial"/>
                <w:color w:val="000000"/>
                <w:szCs w:val="21"/>
                <w:lang w:eastAsia="nl-NL"/>
              </w:rPr>
            </w:pPr>
            <w:r w:rsidRPr="002B19F9">
              <w:rPr>
                <w:rFonts w:cs="Arial"/>
                <w:color w:val="000000"/>
                <w:szCs w:val="21"/>
                <w:lang w:eastAsia="nl-NL"/>
              </w:rPr>
              <w:t>Regionale inkoop Jeugd: HMV</w:t>
            </w:r>
          </w:p>
        </w:tc>
        <w:tc>
          <w:tcPr>
            <w:tcW w:w="1418" w:type="dxa"/>
            <w:tcBorders>
              <w:top w:val="nil"/>
              <w:left w:val="nil"/>
              <w:bottom w:val="single" w:sz="8" w:space="0" w:color="auto"/>
              <w:right w:val="single" w:sz="8" w:space="0" w:color="auto"/>
            </w:tcBorders>
            <w:shd w:val="clear" w:color="auto" w:fill="auto"/>
            <w:noWrap/>
            <w:vAlign w:val="center"/>
            <w:hideMark/>
          </w:tcPr>
          <w:p w14:paraId="1F0C4F7A"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3651BED5"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560 </w:t>
            </w:r>
          </w:p>
        </w:tc>
        <w:tc>
          <w:tcPr>
            <w:tcW w:w="1417" w:type="dxa"/>
            <w:tcBorders>
              <w:top w:val="nil"/>
              <w:left w:val="nil"/>
              <w:bottom w:val="single" w:sz="8" w:space="0" w:color="auto"/>
              <w:right w:val="single" w:sz="8" w:space="0" w:color="auto"/>
            </w:tcBorders>
            <w:shd w:val="clear" w:color="auto" w:fill="auto"/>
            <w:noWrap/>
            <w:vAlign w:val="center"/>
            <w:hideMark/>
          </w:tcPr>
          <w:p w14:paraId="7912BE1A"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1.054 </w:t>
            </w:r>
          </w:p>
        </w:tc>
        <w:tc>
          <w:tcPr>
            <w:tcW w:w="1276" w:type="dxa"/>
            <w:tcBorders>
              <w:top w:val="nil"/>
              <w:left w:val="nil"/>
              <w:bottom w:val="single" w:sz="8" w:space="0" w:color="auto"/>
              <w:right w:val="single" w:sz="8" w:space="0" w:color="auto"/>
            </w:tcBorders>
            <w:shd w:val="clear" w:color="auto" w:fill="auto"/>
            <w:noWrap/>
            <w:vAlign w:val="center"/>
            <w:hideMark/>
          </w:tcPr>
          <w:p w14:paraId="5F13EBA5"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-494 </w:t>
            </w:r>
          </w:p>
        </w:tc>
      </w:tr>
      <w:tr w:rsidR="002B19F9" w:rsidRPr="002B19F9" w14:paraId="305F7C2E" w14:textId="77777777" w:rsidTr="002B19F9">
        <w:trPr>
          <w:trHeight w:val="372"/>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404F0015" w14:textId="77777777" w:rsidR="002B19F9" w:rsidRPr="002B19F9" w:rsidRDefault="002B19F9" w:rsidP="002B19F9">
            <w:pPr>
              <w:rPr>
                <w:rFonts w:cs="Arial"/>
                <w:color w:val="000000"/>
                <w:szCs w:val="21"/>
                <w:lang w:eastAsia="nl-NL"/>
              </w:rPr>
            </w:pPr>
            <w:r w:rsidRPr="002B19F9">
              <w:rPr>
                <w:rFonts w:cs="Arial"/>
                <w:color w:val="000000"/>
                <w:szCs w:val="21"/>
                <w:lang w:eastAsia="nl-NL"/>
              </w:rPr>
              <w:t>Regionale inkoop Jeugd: GWV</w:t>
            </w:r>
          </w:p>
        </w:tc>
        <w:tc>
          <w:tcPr>
            <w:tcW w:w="1418" w:type="dxa"/>
            <w:tcBorders>
              <w:top w:val="nil"/>
              <w:left w:val="nil"/>
              <w:bottom w:val="single" w:sz="8" w:space="0" w:color="auto"/>
              <w:right w:val="single" w:sz="8" w:space="0" w:color="auto"/>
            </w:tcBorders>
            <w:shd w:val="clear" w:color="auto" w:fill="auto"/>
            <w:noWrap/>
            <w:vAlign w:val="center"/>
            <w:hideMark/>
          </w:tcPr>
          <w:p w14:paraId="31C2EFBC"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1.174 </w:t>
            </w:r>
          </w:p>
        </w:tc>
        <w:tc>
          <w:tcPr>
            <w:tcW w:w="1559" w:type="dxa"/>
            <w:tcBorders>
              <w:top w:val="nil"/>
              <w:left w:val="nil"/>
              <w:bottom w:val="single" w:sz="8" w:space="0" w:color="auto"/>
              <w:right w:val="single" w:sz="8" w:space="0" w:color="auto"/>
            </w:tcBorders>
            <w:shd w:val="clear" w:color="auto" w:fill="auto"/>
            <w:noWrap/>
            <w:vAlign w:val="center"/>
            <w:hideMark/>
          </w:tcPr>
          <w:p w14:paraId="1E73CB6D"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3.756 </w:t>
            </w:r>
          </w:p>
        </w:tc>
        <w:tc>
          <w:tcPr>
            <w:tcW w:w="1417" w:type="dxa"/>
            <w:tcBorders>
              <w:top w:val="nil"/>
              <w:left w:val="nil"/>
              <w:bottom w:val="single" w:sz="8" w:space="0" w:color="auto"/>
              <w:right w:val="single" w:sz="8" w:space="0" w:color="auto"/>
            </w:tcBorders>
            <w:shd w:val="clear" w:color="auto" w:fill="auto"/>
            <w:noWrap/>
            <w:vAlign w:val="center"/>
            <w:hideMark/>
          </w:tcPr>
          <w:p w14:paraId="5B4FDD0D"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2.796 </w:t>
            </w:r>
          </w:p>
        </w:tc>
        <w:tc>
          <w:tcPr>
            <w:tcW w:w="1276" w:type="dxa"/>
            <w:tcBorders>
              <w:top w:val="nil"/>
              <w:left w:val="nil"/>
              <w:bottom w:val="single" w:sz="8" w:space="0" w:color="auto"/>
              <w:right w:val="single" w:sz="8" w:space="0" w:color="auto"/>
            </w:tcBorders>
            <w:shd w:val="clear" w:color="auto" w:fill="auto"/>
            <w:noWrap/>
            <w:vAlign w:val="center"/>
            <w:hideMark/>
          </w:tcPr>
          <w:p w14:paraId="21E02E5D"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960 </w:t>
            </w:r>
          </w:p>
        </w:tc>
      </w:tr>
      <w:tr w:rsidR="002B19F9" w:rsidRPr="002B19F9" w14:paraId="2D40D7A3" w14:textId="77777777" w:rsidTr="002B19F9">
        <w:trPr>
          <w:trHeight w:val="372"/>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5A2BB4BF" w14:textId="77777777" w:rsidR="002B19F9" w:rsidRPr="002B19F9" w:rsidRDefault="002B19F9" w:rsidP="002B19F9">
            <w:pPr>
              <w:rPr>
                <w:rFonts w:cs="Arial"/>
                <w:color w:val="000000"/>
                <w:szCs w:val="21"/>
                <w:lang w:eastAsia="nl-NL"/>
              </w:rPr>
            </w:pPr>
            <w:r w:rsidRPr="002B19F9">
              <w:rPr>
                <w:rFonts w:cs="Arial"/>
                <w:color w:val="000000"/>
                <w:szCs w:val="21"/>
                <w:lang w:eastAsia="nl-NL"/>
              </w:rPr>
              <w:t>Regionale inkoop Jeugd: IAJ</w:t>
            </w:r>
          </w:p>
        </w:tc>
        <w:tc>
          <w:tcPr>
            <w:tcW w:w="1418" w:type="dxa"/>
            <w:tcBorders>
              <w:top w:val="nil"/>
              <w:left w:val="nil"/>
              <w:bottom w:val="single" w:sz="8" w:space="0" w:color="auto"/>
              <w:right w:val="single" w:sz="8" w:space="0" w:color="auto"/>
            </w:tcBorders>
            <w:shd w:val="clear" w:color="auto" w:fill="auto"/>
            <w:noWrap/>
            <w:vAlign w:val="center"/>
            <w:hideMark/>
          </w:tcPr>
          <w:p w14:paraId="59C1DA87"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2.291 </w:t>
            </w:r>
          </w:p>
        </w:tc>
        <w:tc>
          <w:tcPr>
            <w:tcW w:w="1559" w:type="dxa"/>
            <w:tcBorders>
              <w:top w:val="nil"/>
              <w:left w:val="nil"/>
              <w:bottom w:val="single" w:sz="8" w:space="0" w:color="auto"/>
              <w:right w:val="single" w:sz="8" w:space="0" w:color="auto"/>
            </w:tcBorders>
            <w:shd w:val="clear" w:color="auto" w:fill="auto"/>
            <w:noWrap/>
            <w:vAlign w:val="center"/>
            <w:hideMark/>
          </w:tcPr>
          <w:p w14:paraId="7CE95065"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4.899 </w:t>
            </w:r>
          </w:p>
        </w:tc>
        <w:tc>
          <w:tcPr>
            <w:tcW w:w="1417" w:type="dxa"/>
            <w:tcBorders>
              <w:top w:val="nil"/>
              <w:left w:val="nil"/>
              <w:bottom w:val="single" w:sz="8" w:space="0" w:color="auto"/>
              <w:right w:val="single" w:sz="8" w:space="0" w:color="auto"/>
            </w:tcBorders>
            <w:shd w:val="clear" w:color="auto" w:fill="auto"/>
            <w:noWrap/>
            <w:vAlign w:val="center"/>
            <w:hideMark/>
          </w:tcPr>
          <w:p w14:paraId="1DBE2D5A"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6.801 </w:t>
            </w:r>
          </w:p>
        </w:tc>
        <w:tc>
          <w:tcPr>
            <w:tcW w:w="1276" w:type="dxa"/>
            <w:tcBorders>
              <w:top w:val="nil"/>
              <w:left w:val="nil"/>
              <w:bottom w:val="single" w:sz="8" w:space="0" w:color="auto"/>
              <w:right w:val="single" w:sz="8" w:space="0" w:color="auto"/>
            </w:tcBorders>
            <w:shd w:val="clear" w:color="auto" w:fill="auto"/>
            <w:noWrap/>
            <w:vAlign w:val="center"/>
            <w:hideMark/>
          </w:tcPr>
          <w:p w14:paraId="23DE9683"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-1.902 </w:t>
            </w:r>
          </w:p>
        </w:tc>
      </w:tr>
      <w:tr w:rsidR="002B19F9" w:rsidRPr="002B19F9" w14:paraId="4A6C3E54" w14:textId="77777777" w:rsidTr="002B19F9">
        <w:trPr>
          <w:trHeight w:val="372"/>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2B9D5CF6" w14:textId="77777777" w:rsidR="002B19F9" w:rsidRPr="002B19F9" w:rsidRDefault="002B19F9" w:rsidP="002B19F9">
            <w:pPr>
              <w:rPr>
                <w:rFonts w:cs="Arial"/>
                <w:color w:val="000000"/>
                <w:szCs w:val="21"/>
                <w:lang w:eastAsia="nl-NL"/>
              </w:rPr>
            </w:pPr>
            <w:r w:rsidRPr="002B19F9">
              <w:rPr>
                <w:rFonts w:cs="Arial"/>
                <w:color w:val="000000"/>
                <w:szCs w:val="21"/>
                <w:lang w:eastAsia="nl-NL"/>
              </w:rPr>
              <w:t>Regionale inkoop Jeugd: Dyslexie</w:t>
            </w:r>
          </w:p>
        </w:tc>
        <w:tc>
          <w:tcPr>
            <w:tcW w:w="1418" w:type="dxa"/>
            <w:tcBorders>
              <w:top w:val="nil"/>
              <w:left w:val="nil"/>
              <w:bottom w:val="single" w:sz="8" w:space="0" w:color="auto"/>
              <w:right w:val="single" w:sz="8" w:space="0" w:color="auto"/>
            </w:tcBorders>
            <w:shd w:val="clear" w:color="auto" w:fill="auto"/>
            <w:noWrap/>
            <w:vAlign w:val="center"/>
            <w:hideMark/>
          </w:tcPr>
          <w:p w14:paraId="4F040D8D"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238 </w:t>
            </w:r>
          </w:p>
        </w:tc>
        <w:tc>
          <w:tcPr>
            <w:tcW w:w="1559" w:type="dxa"/>
            <w:tcBorders>
              <w:top w:val="nil"/>
              <w:left w:val="nil"/>
              <w:bottom w:val="single" w:sz="8" w:space="0" w:color="auto"/>
              <w:right w:val="single" w:sz="8" w:space="0" w:color="auto"/>
            </w:tcBorders>
            <w:shd w:val="clear" w:color="auto" w:fill="auto"/>
            <w:noWrap/>
            <w:vAlign w:val="center"/>
            <w:hideMark/>
          </w:tcPr>
          <w:p w14:paraId="6988BF4C"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204 </w:t>
            </w:r>
          </w:p>
        </w:tc>
        <w:tc>
          <w:tcPr>
            <w:tcW w:w="1417" w:type="dxa"/>
            <w:tcBorders>
              <w:top w:val="nil"/>
              <w:left w:val="nil"/>
              <w:bottom w:val="single" w:sz="8" w:space="0" w:color="auto"/>
              <w:right w:val="single" w:sz="8" w:space="0" w:color="auto"/>
            </w:tcBorders>
            <w:shd w:val="clear" w:color="auto" w:fill="auto"/>
            <w:noWrap/>
            <w:vAlign w:val="center"/>
            <w:hideMark/>
          </w:tcPr>
          <w:p w14:paraId="3E1FC816"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224 </w:t>
            </w:r>
          </w:p>
        </w:tc>
        <w:tc>
          <w:tcPr>
            <w:tcW w:w="1276" w:type="dxa"/>
            <w:tcBorders>
              <w:top w:val="nil"/>
              <w:left w:val="nil"/>
              <w:bottom w:val="single" w:sz="8" w:space="0" w:color="auto"/>
              <w:right w:val="single" w:sz="8" w:space="0" w:color="auto"/>
            </w:tcBorders>
            <w:shd w:val="clear" w:color="auto" w:fill="auto"/>
            <w:noWrap/>
            <w:vAlign w:val="center"/>
            <w:hideMark/>
          </w:tcPr>
          <w:p w14:paraId="644BC909"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-19 </w:t>
            </w:r>
          </w:p>
        </w:tc>
      </w:tr>
      <w:tr w:rsidR="002B19F9" w:rsidRPr="002B19F9" w14:paraId="3C474F8B" w14:textId="77777777" w:rsidTr="002B19F9">
        <w:trPr>
          <w:trHeight w:val="372"/>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359FF11C" w14:textId="77777777" w:rsidR="002B19F9" w:rsidRPr="002B19F9" w:rsidRDefault="002B19F9" w:rsidP="002B19F9">
            <w:pPr>
              <w:rPr>
                <w:rFonts w:cs="Arial"/>
                <w:color w:val="000000"/>
                <w:szCs w:val="21"/>
                <w:lang w:eastAsia="nl-NL"/>
              </w:rPr>
            </w:pPr>
            <w:r w:rsidRPr="002B19F9">
              <w:rPr>
                <w:rFonts w:cs="Arial"/>
                <w:color w:val="000000"/>
                <w:szCs w:val="21"/>
                <w:lang w:eastAsia="nl-NL"/>
              </w:rPr>
              <w:t>Gecertificeerde instellingen Jeugdzorg</w:t>
            </w:r>
          </w:p>
        </w:tc>
        <w:tc>
          <w:tcPr>
            <w:tcW w:w="1418" w:type="dxa"/>
            <w:tcBorders>
              <w:top w:val="nil"/>
              <w:left w:val="nil"/>
              <w:bottom w:val="single" w:sz="8" w:space="0" w:color="auto"/>
              <w:right w:val="single" w:sz="8" w:space="0" w:color="auto"/>
            </w:tcBorders>
            <w:shd w:val="clear" w:color="auto" w:fill="auto"/>
            <w:noWrap/>
            <w:vAlign w:val="center"/>
            <w:hideMark/>
          </w:tcPr>
          <w:p w14:paraId="53F19BC8"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710 </w:t>
            </w:r>
          </w:p>
        </w:tc>
        <w:tc>
          <w:tcPr>
            <w:tcW w:w="1559" w:type="dxa"/>
            <w:tcBorders>
              <w:top w:val="nil"/>
              <w:left w:val="nil"/>
              <w:bottom w:val="single" w:sz="8" w:space="0" w:color="auto"/>
              <w:right w:val="single" w:sz="8" w:space="0" w:color="auto"/>
            </w:tcBorders>
            <w:shd w:val="clear" w:color="auto" w:fill="auto"/>
            <w:noWrap/>
            <w:vAlign w:val="center"/>
            <w:hideMark/>
          </w:tcPr>
          <w:p w14:paraId="76F234F9"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748 </w:t>
            </w:r>
          </w:p>
        </w:tc>
        <w:tc>
          <w:tcPr>
            <w:tcW w:w="1417" w:type="dxa"/>
            <w:tcBorders>
              <w:top w:val="nil"/>
              <w:left w:val="nil"/>
              <w:bottom w:val="single" w:sz="8" w:space="0" w:color="auto"/>
              <w:right w:val="single" w:sz="8" w:space="0" w:color="auto"/>
            </w:tcBorders>
            <w:shd w:val="clear" w:color="auto" w:fill="auto"/>
            <w:noWrap/>
            <w:vAlign w:val="center"/>
            <w:hideMark/>
          </w:tcPr>
          <w:p w14:paraId="44E7352F"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616 </w:t>
            </w:r>
          </w:p>
        </w:tc>
        <w:tc>
          <w:tcPr>
            <w:tcW w:w="1276" w:type="dxa"/>
            <w:tcBorders>
              <w:top w:val="nil"/>
              <w:left w:val="nil"/>
              <w:bottom w:val="single" w:sz="8" w:space="0" w:color="auto"/>
              <w:right w:val="single" w:sz="8" w:space="0" w:color="auto"/>
            </w:tcBorders>
            <w:shd w:val="clear" w:color="auto" w:fill="auto"/>
            <w:noWrap/>
            <w:vAlign w:val="center"/>
            <w:hideMark/>
          </w:tcPr>
          <w:p w14:paraId="74F0284F" w14:textId="77777777" w:rsidR="002B19F9" w:rsidRPr="002B19F9" w:rsidRDefault="002B19F9" w:rsidP="002B19F9">
            <w:pPr>
              <w:jc w:val="right"/>
              <w:rPr>
                <w:rFonts w:cs="Arial"/>
                <w:color w:val="000000"/>
                <w:szCs w:val="21"/>
                <w:lang w:eastAsia="nl-NL"/>
              </w:rPr>
            </w:pPr>
            <w:r w:rsidRPr="002B19F9">
              <w:rPr>
                <w:rFonts w:cs="Arial"/>
                <w:color w:val="000000"/>
                <w:szCs w:val="21"/>
                <w:lang w:eastAsia="nl-NL"/>
              </w:rPr>
              <w:t xml:space="preserve">               132 </w:t>
            </w:r>
          </w:p>
        </w:tc>
      </w:tr>
      <w:tr w:rsidR="002B19F9" w:rsidRPr="002B19F9" w14:paraId="6F18A2F3" w14:textId="77777777" w:rsidTr="002B19F9">
        <w:trPr>
          <w:trHeight w:val="372"/>
        </w:trPr>
        <w:tc>
          <w:tcPr>
            <w:tcW w:w="3534" w:type="dxa"/>
            <w:tcBorders>
              <w:top w:val="nil"/>
              <w:left w:val="single" w:sz="8" w:space="0" w:color="auto"/>
              <w:bottom w:val="single" w:sz="8" w:space="0" w:color="auto"/>
              <w:right w:val="single" w:sz="8" w:space="0" w:color="auto"/>
            </w:tcBorders>
            <w:shd w:val="clear" w:color="000000" w:fill="C6D9F1"/>
            <w:noWrap/>
            <w:vAlign w:val="center"/>
            <w:hideMark/>
          </w:tcPr>
          <w:p w14:paraId="16C35041" w14:textId="77777777" w:rsidR="002B19F9" w:rsidRPr="002B19F9" w:rsidRDefault="002B19F9" w:rsidP="002B19F9">
            <w:pPr>
              <w:rPr>
                <w:rFonts w:cs="Arial"/>
                <w:b/>
                <w:bCs/>
                <w:color w:val="000000"/>
                <w:szCs w:val="21"/>
                <w:lang w:eastAsia="nl-NL"/>
              </w:rPr>
            </w:pPr>
            <w:r w:rsidRPr="002B19F9">
              <w:rPr>
                <w:rFonts w:cs="Arial"/>
                <w:b/>
                <w:bCs/>
                <w:color w:val="000000"/>
                <w:szCs w:val="21"/>
                <w:lang w:eastAsia="nl-NL"/>
              </w:rPr>
              <w:t>Totaal</w:t>
            </w:r>
          </w:p>
        </w:tc>
        <w:tc>
          <w:tcPr>
            <w:tcW w:w="1418" w:type="dxa"/>
            <w:tcBorders>
              <w:top w:val="nil"/>
              <w:left w:val="nil"/>
              <w:bottom w:val="single" w:sz="8" w:space="0" w:color="auto"/>
              <w:right w:val="single" w:sz="8" w:space="0" w:color="auto"/>
            </w:tcBorders>
            <w:shd w:val="clear" w:color="000000" w:fill="C6D9F1"/>
            <w:noWrap/>
            <w:vAlign w:val="center"/>
            <w:hideMark/>
          </w:tcPr>
          <w:p w14:paraId="5DEA8F66" w14:textId="77777777" w:rsidR="002B19F9" w:rsidRPr="002B19F9" w:rsidRDefault="002B19F9" w:rsidP="002B19F9">
            <w:pPr>
              <w:jc w:val="right"/>
              <w:rPr>
                <w:rFonts w:cs="Arial"/>
                <w:b/>
                <w:bCs/>
                <w:color w:val="000000"/>
                <w:szCs w:val="21"/>
                <w:lang w:eastAsia="nl-NL"/>
              </w:rPr>
            </w:pPr>
            <w:r w:rsidRPr="002B19F9">
              <w:rPr>
                <w:rFonts w:cs="Arial"/>
                <w:b/>
                <w:bCs/>
                <w:color w:val="000000"/>
                <w:szCs w:val="21"/>
                <w:lang w:eastAsia="nl-NL"/>
              </w:rPr>
              <w:t>11.627</w:t>
            </w:r>
          </w:p>
        </w:tc>
        <w:tc>
          <w:tcPr>
            <w:tcW w:w="1559" w:type="dxa"/>
            <w:tcBorders>
              <w:top w:val="nil"/>
              <w:left w:val="nil"/>
              <w:bottom w:val="single" w:sz="8" w:space="0" w:color="auto"/>
              <w:right w:val="single" w:sz="8" w:space="0" w:color="auto"/>
            </w:tcBorders>
            <w:shd w:val="clear" w:color="000000" w:fill="C6D9F1"/>
            <w:noWrap/>
            <w:vAlign w:val="center"/>
            <w:hideMark/>
          </w:tcPr>
          <w:p w14:paraId="0A8C2854" w14:textId="7F723DCD" w:rsidR="002B19F9" w:rsidRPr="002B19F9" w:rsidRDefault="002B19F9" w:rsidP="002B19F9">
            <w:pPr>
              <w:jc w:val="right"/>
              <w:rPr>
                <w:rFonts w:cs="Arial"/>
                <w:b/>
                <w:bCs/>
                <w:color w:val="000000"/>
                <w:szCs w:val="21"/>
                <w:lang w:eastAsia="nl-NL"/>
              </w:rPr>
            </w:pPr>
            <w:r w:rsidRPr="002B19F9">
              <w:rPr>
                <w:rFonts w:cs="Arial"/>
                <w:b/>
                <w:bCs/>
                <w:color w:val="000000"/>
                <w:szCs w:val="21"/>
                <w:lang w:eastAsia="nl-NL"/>
              </w:rPr>
              <w:t>10</w:t>
            </w:r>
            <w:r>
              <w:rPr>
                <w:rFonts w:cs="Arial"/>
                <w:b/>
                <w:bCs/>
                <w:color w:val="000000"/>
                <w:szCs w:val="21"/>
                <w:lang w:eastAsia="nl-NL"/>
              </w:rPr>
              <w:t>.</w:t>
            </w:r>
            <w:r w:rsidRPr="002B19F9">
              <w:rPr>
                <w:rFonts w:cs="Arial"/>
                <w:b/>
                <w:bCs/>
                <w:color w:val="000000"/>
                <w:szCs w:val="21"/>
                <w:lang w:eastAsia="nl-NL"/>
              </w:rPr>
              <w:t>688</w:t>
            </w:r>
          </w:p>
        </w:tc>
        <w:tc>
          <w:tcPr>
            <w:tcW w:w="1417" w:type="dxa"/>
            <w:tcBorders>
              <w:top w:val="nil"/>
              <w:left w:val="nil"/>
              <w:bottom w:val="single" w:sz="8" w:space="0" w:color="auto"/>
              <w:right w:val="single" w:sz="8" w:space="0" w:color="auto"/>
            </w:tcBorders>
            <w:shd w:val="clear" w:color="000000" w:fill="C6D9F1"/>
            <w:noWrap/>
            <w:vAlign w:val="center"/>
            <w:hideMark/>
          </w:tcPr>
          <w:p w14:paraId="3DF3E40D" w14:textId="5CB9ED5D" w:rsidR="002B19F9" w:rsidRPr="002B19F9" w:rsidRDefault="002B19F9" w:rsidP="002B19F9">
            <w:pPr>
              <w:jc w:val="right"/>
              <w:rPr>
                <w:rFonts w:cs="Arial"/>
                <w:b/>
                <w:bCs/>
                <w:color w:val="000000"/>
                <w:szCs w:val="21"/>
                <w:lang w:eastAsia="nl-NL"/>
              </w:rPr>
            </w:pPr>
            <w:r w:rsidRPr="002B19F9">
              <w:rPr>
                <w:rFonts w:cs="Arial"/>
                <w:b/>
                <w:bCs/>
                <w:color w:val="000000"/>
                <w:szCs w:val="21"/>
                <w:lang w:eastAsia="nl-NL"/>
              </w:rPr>
              <w:t>12</w:t>
            </w:r>
            <w:r>
              <w:rPr>
                <w:rFonts w:cs="Arial"/>
                <w:b/>
                <w:bCs/>
                <w:color w:val="000000"/>
                <w:szCs w:val="21"/>
                <w:lang w:eastAsia="nl-NL"/>
              </w:rPr>
              <w:t>.</w:t>
            </w:r>
            <w:r w:rsidRPr="002B19F9">
              <w:rPr>
                <w:rFonts w:cs="Arial"/>
                <w:b/>
                <w:bCs/>
                <w:color w:val="000000"/>
                <w:szCs w:val="21"/>
                <w:lang w:eastAsia="nl-NL"/>
              </w:rPr>
              <w:t>942</w:t>
            </w:r>
          </w:p>
        </w:tc>
        <w:tc>
          <w:tcPr>
            <w:tcW w:w="1276" w:type="dxa"/>
            <w:tcBorders>
              <w:top w:val="nil"/>
              <w:left w:val="nil"/>
              <w:bottom w:val="single" w:sz="8" w:space="0" w:color="auto"/>
              <w:right w:val="single" w:sz="8" w:space="0" w:color="auto"/>
            </w:tcBorders>
            <w:shd w:val="clear" w:color="000000" w:fill="C6D9F1"/>
            <w:noWrap/>
            <w:vAlign w:val="center"/>
            <w:hideMark/>
          </w:tcPr>
          <w:p w14:paraId="50808FC7" w14:textId="63D3E76B" w:rsidR="002B19F9" w:rsidRPr="002B19F9" w:rsidRDefault="002B19F9" w:rsidP="002B19F9">
            <w:pPr>
              <w:jc w:val="right"/>
              <w:rPr>
                <w:rFonts w:cs="Arial"/>
                <w:b/>
                <w:bCs/>
                <w:color w:val="000000"/>
                <w:szCs w:val="21"/>
                <w:lang w:eastAsia="nl-NL"/>
              </w:rPr>
            </w:pPr>
            <w:r w:rsidRPr="002B19F9">
              <w:rPr>
                <w:rFonts w:cs="Arial"/>
                <w:b/>
                <w:bCs/>
                <w:color w:val="000000"/>
                <w:szCs w:val="21"/>
                <w:lang w:eastAsia="nl-NL"/>
              </w:rPr>
              <w:t>-2</w:t>
            </w:r>
            <w:r>
              <w:rPr>
                <w:rFonts w:cs="Arial"/>
                <w:b/>
                <w:bCs/>
                <w:color w:val="000000"/>
                <w:szCs w:val="21"/>
                <w:lang w:eastAsia="nl-NL"/>
              </w:rPr>
              <w:t>.</w:t>
            </w:r>
            <w:r w:rsidRPr="002B19F9">
              <w:rPr>
                <w:rFonts w:cs="Arial"/>
                <w:b/>
                <w:bCs/>
                <w:color w:val="000000"/>
                <w:szCs w:val="21"/>
                <w:lang w:eastAsia="nl-NL"/>
              </w:rPr>
              <w:t>254</w:t>
            </w:r>
          </w:p>
        </w:tc>
      </w:tr>
    </w:tbl>
    <w:p w14:paraId="33B6556D" w14:textId="77777777" w:rsidR="002B19F9" w:rsidRDefault="002B19F9" w:rsidP="00B0623F">
      <w:pPr>
        <w:spacing w:line="276" w:lineRule="auto"/>
      </w:pPr>
    </w:p>
    <w:p w14:paraId="5563B7C0" w14:textId="77777777" w:rsidR="00DE7AD7" w:rsidRPr="00A91C70" w:rsidRDefault="00DE7AD7" w:rsidP="00DE7AD7">
      <w:pPr>
        <w:spacing w:line="276" w:lineRule="auto"/>
        <w:rPr>
          <w:i/>
          <w:iCs/>
          <w:u w:val="single"/>
        </w:rPr>
      </w:pPr>
      <w:r w:rsidRPr="00A91C70">
        <w:rPr>
          <w:i/>
          <w:iCs/>
          <w:u w:val="single"/>
        </w:rPr>
        <w:t>Lasten 2023 ten opzichte van de begroting 2023</w:t>
      </w:r>
    </w:p>
    <w:p w14:paraId="6D8D30B1" w14:textId="629CE97B" w:rsidR="00DE7AD7" w:rsidRPr="00DE7AD7" w:rsidRDefault="00DE7AD7" w:rsidP="00DE7AD7">
      <w:pPr>
        <w:spacing w:line="276" w:lineRule="auto"/>
      </w:pPr>
      <w:r w:rsidRPr="00DE7AD7">
        <w:t>De activiteit “</w:t>
      </w:r>
      <w:r w:rsidR="00666AFE" w:rsidRPr="00666AFE">
        <w:t>We bieden onze jonge inwoners en hun ouders/verzorger jeugdhulp</w:t>
      </w:r>
      <w:r w:rsidRPr="00DE7AD7">
        <w:t>”</w:t>
      </w:r>
      <w:r w:rsidR="00666AFE">
        <w:t xml:space="preserve"> </w:t>
      </w:r>
      <w:r w:rsidRPr="00DE7AD7">
        <w:t>eindigt met een nadelig resultaat van € 2.254.000. Naast verscheidene kleinere voor- en nadelen ligt de voornaamste oorzaak bij:</w:t>
      </w:r>
    </w:p>
    <w:p w14:paraId="5C91DE60" w14:textId="5E32D9C3" w:rsidR="00DE7AD7" w:rsidRDefault="00DE7AD7" w:rsidP="000D04CD">
      <w:pPr>
        <w:pStyle w:val="Lijstalinea"/>
        <w:numPr>
          <w:ilvl w:val="0"/>
          <w:numId w:val="1"/>
        </w:numPr>
        <w:spacing w:line="276" w:lineRule="auto"/>
      </w:pPr>
      <w:r w:rsidRPr="00DE7AD7">
        <w:t>De herijking van de plekprijzen uit de Regionale inkoop inclusief Jeugd en Opvoedhulp en Jeugd-GG</w:t>
      </w:r>
      <w:r w:rsidR="00981ABA">
        <w:t>Z</w:t>
      </w:r>
      <w:r w:rsidRPr="00DE7AD7">
        <w:t xml:space="preserve">  individuele overeenkomsten). Het nadeel ten opzichte van de begroting is € 953.000;</w:t>
      </w:r>
    </w:p>
    <w:p w14:paraId="3FB38512" w14:textId="77777777" w:rsidR="00C678E7" w:rsidRDefault="00DE7AD7" w:rsidP="000D04CD">
      <w:pPr>
        <w:pStyle w:val="Lijstalinea"/>
        <w:numPr>
          <w:ilvl w:val="0"/>
          <w:numId w:val="1"/>
        </w:numPr>
        <w:spacing w:line="276" w:lineRule="auto"/>
      </w:pPr>
      <w:r>
        <w:t>Een toename van Hoog Complexe Zorg met Verblijf</w:t>
      </w:r>
      <w:r w:rsidR="0041332C">
        <w:t xml:space="preserve"> (hierna te noemen HCV)</w:t>
      </w:r>
      <w:r>
        <w:t xml:space="preserve">. Hoewel het hier om een beperkt aantal kinderen gaat zijn de individuele kosten per indicatie fors </w:t>
      </w:r>
      <w:r w:rsidR="7E00381C">
        <w:t>(tot</w:t>
      </w:r>
      <w:r>
        <w:t xml:space="preserve"> € 180.000 op jaarbasis).</w:t>
      </w:r>
      <w:r w:rsidR="004A6CFA">
        <w:t xml:space="preserve"> Zie hiervoor ook de cijfermatige toelichting hieronder.</w:t>
      </w:r>
      <w:r>
        <w:t xml:space="preserve"> Het nadeel op deze begrotingspost is </w:t>
      </w:r>
    </w:p>
    <w:p w14:paraId="16F69525" w14:textId="31345527" w:rsidR="00DE7AD7" w:rsidRPr="00DE7AD7" w:rsidRDefault="00DE7AD7" w:rsidP="000D04CD">
      <w:pPr>
        <w:pStyle w:val="Lijstalinea"/>
        <w:numPr>
          <w:ilvl w:val="0"/>
          <w:numId w:val="1"/>
        </w:numPr>
        <w:spacing w:line="276" w:lineRule="auto"/>
      </w:pPr>
      <w:r>
        <w:t xml:space="preserve">€ </w:t>
      </w:r>
      <w:r w:rsidR="00C678E7">
        <w:t>4</w:t>
      </w:r>
      <w:r w:rsidR="43B76DAA">
        <w:t>94.000, -</w:t>
      </w:r>
      <w:r>
        <w:t>.</w:t>
      </w:r>
    </w:p>
    <w:p w14:paraId="630CEE40" w14:textId="21A7F8ED" w:rsidR="00DE7AD7" w:rsidRPr="00DE7AD7" w:rsidRDefault="00DE7AD7" w:rsidP="000D04CD">
      <w:pPr>
        <w:pStyle w:val="Lijstalinea"/>
        <w:numPr>
          <w:ilvl w:val="0"/>
          <w:numId w:val="1"/>
        </w:numPr>
        <w:spacing w:line="276" w:lineRule="auto"/>
      </w:pPr>
      <w:r>
        <w:t xml:space="preserve">Het slechts </w:t>
      </w:r>
      <w:r w:rsidR="0A59B853">
        <w:t>ten dele</w:t>
      </w:r>
      <w:r>
        <w:t xml:space="preserve"> invullen van de Taakstelling op deze activiteit. Dit leidt tot een nadeel van </w:t>
      </w:r>
    </w:p>
    <w:p w14:paraId="021D043D" w14:textId="5FD8F71D" w:rsidR="00DE7AD7" w:rsidRDefault="00DE7AD7" w:rsidP="00DE7AD7">
      <w:pPr>
        <w:pStyle w:val="Lijstalinea"/>
        <w:spacing w:line="276" w:lineRule="auto"/>
      </w:pPr>
      <w:r w:rsidRPr="00DE7AD7">
        <w:t xml:space="preserve"> € 874.000)</w:t>
      </w:r>
      <w:r w:rsidR="00981ABA">
        <w:t>.</w:t>
      </w:r>
    </w:p>
    <w:p w14:paraId="37A91FF8" w14:textId="77777777" w:rsidR="00981ABA" w:rsidRPr="00DE7AD7" w:rsidRDefault="00981ABA" w:rsidP="00DE7AD7">
      <w:pPr>
        <w:pStyle w:val="Lijstalinea"/>
        <w:spacing w:line="276" w:lineRule="auto"/>
      </w:pPr>
    </w:p>
    <w:p w14:paraId="2E385CB9" w14:textId="77777777" w:rsidR="00DE7AD7" w:rsidRPr="00DE7AD7" w:rsidRDefault="00DE7AD7" w:rsidP="00DE7AD7">
      <w:pPr>
        <w:spacing w:line="276" w:lineRule="auto"/>
      </w:pPr>
      <w:r w:rsidRPr="00DE7AD7">
        <w:t>Voordelen zijn met name zichtbaar op:</w:t>
      </w:r>
    </w:p>
    <w:p w14:paraId="0432ACEF" w14:textId="508ACD09" w:rsidR="00DE7AD7" w:rsidRPr="0074797B" w:rsidRDefault="0074797B" w:rsidP="000D04CD">
      <w:pPr>
        <w:pStyle w:val="Lijstalinea"/>
        <w:numPr>
          <w:ilvl w:val="0"/>
          <w:numId w:val="1"/>
        </w:numPr>
        <w:spacing w:line="276" w:lineRule="auto"/>
      </w:pPr>
      <w:r>
        <w:t>Jeugdbesc</w:t>
      </w:r>
      <w:r w:rsidR="128B9930">
        <w:t>h</w:t>
      </w:r>
      <w:r>
        <w:t xml:space="preserve">erming en Jeugdreclassering (gecertificeerde </w:t>
      </w:r>
      <w:r w:rsidR="4DCC6441">
        <w:t xml:space="preserve">instellingen) </w:t>
      </w:r>
      <w:r>
        <w:tab/>
      </w:r>
      <w:r>
        <w:tab/>
      </w:r>
      <w:r w:rsidR="00DE7AD7">
        <w:t xml:space="preserve">€  </w:t>
      </w:r>
      <w:r>
        <w:t>132</w:t>
      </w:r>
      <w:r w:rsidR="00DE7AD7">
        <w:t>.000</w:t>
      </w:r>
    </w:p>
    <w:p w14:paraId="4286A484" w14:textId="044524C4" w:rsidR="0074797B" w:rsidRPr="0074797B" w:rsidRDefault="00DE7AD7" w:rsidP="000D04CD">
      <w:pPr>
        <w:pStyle w:val="Lijstalinea"/>
        <w:numPr>
          <w:ilvl w:val="0"/>
          <w:numId w:val="1"/>
        </w:numPr>
        <w:spacing w:line="276" w:lineRule="auto"/>
      </w:pPr>
      <w:r>
        <w:t>Persoonsgebonden budget</w:t>
      </w:r>
      <w:r>
        <w:tab/>
      </w:r>
      <w:r>
        <w:tab/>
      </w:r>
      <w:r>
        <w:tab/>
      </w:r>
      <w:r>
        <w:tab/>
      </w:r>
      <w:r>
        <w:tab/>
      </w:r>
      <w:r>
        <w:tab/>
      </w:r>
      <w:r>
        <w:tab/>
        <w:t xml:space="preserve">€    </w:t>
      </w:r>
      <w:r w:rsidR="004A6CFA">
        <w:t xml:space="preserve"> </w:t>
      </w:r>
      <w:r w:rsidR="0074797B">
        <w:t>75</w:t>
      </w:r>
      <w:r>
        <w:t>.000</w:t>
      </w:r>
    </w:p>
    <w:p w14:paraId="327BB612" w14:textId="2171B04B" w:rsidR="0074797B" w:rsidRPr="00384016" w:rsidRDefault="0074797B" w:rsidP="000D04CD">
      <w:pPr>
        <w:pStyle w:val="Lijstalinea"/>
        <w:numPr>
          <w:ilvl w:val="0"/>
          <w:numId w:val="1"/>
        </w:numPr>
        <w:spacing w:line="276" w:lineRule="auto"/>
      </w:pPr>
      <w:r>
        <w:t>Zorg op basis van landelijke afspraken</w:t>
      </w:r>
      <w:r>
        <w:tab/>
      </w:r>
      <w:r>
        <w:tab/>
      </w:r>
      <w:r>
        <w:tab/>
      </w:r>
      <w:r>
        <w:tab/>
      </w:r>
      <w:r>
        <w:tab/>
      </w:r>
      <w:r>
        <w:tab/>
        <w:t xml:space="preserve"> €    12.000</w:t>
      </w:r>
    </w:p>
    <w:p w14:paraId="2550F011" w14:textId="77777777" w:rsidR="00DE7AD7" w:rsidRPr="00384016" w:rsidRDefault="00DE7AD7" w:rsidP="00B0623F">
      <w:pPr>
        <w:spacing w:line="276" w:lineRule="auto"/>
      </w:pPr>
    </w:p>
    <w:p w14:paraId="704DC40C" w14:textId="77777777" w:rsidR="00384016" w:rsidRPr="00777530" w:rsidRDefault="00384016" w:rsidP="00384016">
      <w:pPr>
        <w:spacing w:line="276" w:lineRule="auto"/>
        <w:rPr>
          <w:i/>
          <w:iCs/>
          <w:u w:val="single"/>
        </w:rPr>
      </w:pPr>
      <w:r w:rsidRPr="00777530">
        <w:rPr>
          <w:i/>
          <w:iCs/>
          <w:u w:val="single"/>
        </w:rPr>
        <w:t>Realisatie 2023 ten opzichte van de realisatie 2022</w:t>
      </w:r>
    </w:p>
    <w:p w14:paraId="2A8EE7F9" w14:textId="6FB2BDD6" w:rsidR="0041332C" w:rsidRDefault="00384016" w:rsidP="003E25EC">
      <w:pPr>
        <w:spacing w:line="276" w:lineRule="auto"/>
      </w:pPr>
      <w:r>
        <w:t>Zoals te zien is in de tabel, kent ‘</w:t>
      </w:r>
      <w:r w:rsidR="00981ABA" w:rsidRPr="00DE7AD7">
        <w:t>We bieden onze jonge inwoners en hun ouders/verzorgers jeugdhulp</w:t>
      </w:r>
      <w:r>
        <w:t>’ in 2023 ten opzichte van de jaarrekening van 2022 een lastenstijging van € 1.315.000 (2023 € 12.942</w:t>
      </w:r>
      <w:r w:rsidR="00981ABA">
        <w:t>.000</w:t>
      </w:r>
      <w:r>
        <w:t xml:space="preserve"> en 2022 € 11.627</w:t>
      </w:r>
      <w:r w:rsidR="00981ABA">
        <w:t>.000</w:t>
      </w:r>
      <w:r>
        <w:t>). De constatering is dat de voornaamste lastenstijging zichtbaar is bij de posten die gerelateerd zijn aan de Regionale Inkoop. In eerste instantie is er een duidelijke lastenverschuiving zichtbaar van</w:t>
      </w:r>
      <w:r w:rsidR="000D04CD">
        <w:t xml:space="preserve"> Jeugd en opvoedhulp </w:t>
      </w:r>
      <w:r w:rsidR="00981ABA">
        <w:t>(</w:t>
      </w:r>
      <w:r>
        <w:t xml:space="preserve">vanuit het Open House model P*Q) naar Regionale Inkoop.  </w:t>
      </w:r>
      <w:r w:rsidR="00981ABA">
        <w:t xml:space="preserve">Dit komt omdat </w:t>
      </w:r>
      <w:r>
        <w:t>2023 het eerste boekjaar is waarin de Regionale Inkoop het hele jaar van toepassing is geweest.</w:t>
      </w:r>
    </w:p>
    <w:p w14:paraId="5291D3C0" w14:textId="117BA42F" w:rsidR="0041332C" w:rsidRDefault="00C678E7" w:rsidP="003E25EC">
      <w:pPr>
        <w:spacing w:line="276" w:lineRule="auto"/>
      </w:pPr>
      <w:r>
        <w:t xml:space="preserve">Daarnaast  is </w:t>
      </w:r>
      <w:r w:rsidR="000D04CD">
        <w:t xml:space="preserve">Hoog Complexe Zorg met Verblijf </w:t>
      </w:r>
      <w:r w:rsidR="0A9CC243">
        <w:t>(HCV)</w:t>
      </w:r>
      <w:r>
        <w:t xml:space="preserve"> </w:t>
      </w:r>
      <w:r w:rsidR="000D04CD">
        <w:t xml:space="preserve">met ingang van 2023 geïntroduceerd. </w:t>
      </w:r>
      <w:r w:rsidR="0041332C">
        <w:t>Ook hier is sprake</w:t>
      </w:r>
      <w:r w:rsidR="54E16C7C">
        <w:t xml:space="preserve"> van een duidelijke lastenverschuiving</w:t>
      </w:r>
      <w:r w:rsidR="0041332C">
        <w:t xml:space="preserve"> ten opzichte van de realisatie </w:t>
      </w:r>
      <w:r w:rsidR="3C696BAB">
        <w:t>2022, vanuit</w:t>
      </w:r>
      <w:r w:rsidR="0041332C">
        <w:t xml:space="preserve"> Jeugd- en </w:t>
      </w:r>
      <w:r w:rsidR="5175FF60">
        <w:t>Opvoedhulp en</w:t>
      </w:r>
      <w:r w:rsidR="0041332C">
        <w:t xml:space="preserve"> </w:t>
      </w:r>
      <w:r w:rsidR="531F4EA7">
        <w:t>GGZ</w:t>
      </w:r>
      <w:r w:rsidR="0041332C">
        <w:t xml:space="preserve"> naar de begrotingspost HCV.</w:t>
      </w:r>
    </w:p>
    <w:p w14:paraId="6E0C5EDF" w14:textId="7FDA3C19" w:rsidR="216F7159" w:rsidRDefault="216F7159" w:rsidP="216F7159">
      <w:pPr>
        <w:spacing w:line="276" w:lineRule="auto"/>
      </w:pPr>
    </w:p>
    <w:tbl>
      <w:tblPr>
        <w:tblW w:w="9343" w:type="dxa"/>
        <w:tblCellMar>
          <w:left w:w="70" w:type="dxa"/>
          <w:right w:w="70" w:type="dxa"/>
        </w:tblCellMar>
        <w:tblLook w:val="04A0" w:firstRow="1" w:lastRow="0" w:firstColumn="1" w:lastColumn="0" w:noHBand="0" w:noVBand="1"/>
      </w:tblPr>
      <w:tblGrid>
        <w:gridCol w:w="4526"/>
        <w:gridCol w:w="1040"/>
        <w:gridCol w:w="1036"/>
        <w:gridCol w:w="1185"/>
        <w:gridCol w:w="1556"/>
      </w:tblGrid>
      <w:tr w:rsidR="003E25EC" w:rsidRPr="00384016" w14:paraId="3C6E8913" w14:textId="77777777" w:rsidTr="000D04CD">
        <w:trPr>
          <w:trHeight w:val="735"/>
        </w:trPr>
        <w:tc>
          <w:tcPr>
            <w:tcW w:w="4526"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5D002A2" w14:textId="77777777" w:rsidR="003E25EC" w:rsidRPr="00384016" w:rsidRDefault="003E25EC" w:rsidP="00853643">
            <w:pPr>
              <w:spacing w:line="276" w:lineRule="auto"/>
              <w:rPr>
                <w:rFonts w:cs="Calibri"/>
                <w:b/>
                <w:bCs/>
                <w:color w:val="000000"/>
                <w:szCs w:val="21"/>
                <w:lang w:eastAsia="nl-NL"/>
              </w:rPr>
            </w:pPr>
            <w:bookmarkStart w:id="7" w:name="_Hlk165989943"/>
            <w:r w:rsidRPr="00384016">
              <w:rPr>
                <w:rFonts w:cs="Calibri"/>
                <w:b/>
                <w:bCs/>
                <w:color w:val="000000"/>
                <w:szCs w:val="21"/>
                <w:lang w:eastAsia="nl-NL"/>
              </w:rPr>
              <w:t>Soort</w:t>
            </w:r>
          </w:p>
        </w:tc>
        <w:tc>
          <w:tcPr>
            <w:tcW w:w="1040" w:type="dxa"/>
            <w:tcBorders>
              <w:top w:val="single" w:sz="8" w:space="0" w:color="auto"/>
              <w:left w:val="nil"/>
              <w:bottom w:val="single" w:sz="8" w:space="0" w:color="auto"/>
              <w:right w:val="single" w:sz="8" w:space="0" w:color="auto"/>
            </w:tcBorders>
            <w:shd w:val="clear" w:color="000000" w:fill="D9D9D9"/>
          </w:tcPr>
          <w:p w14:paraId="2801D4C6" w14:textId="5FC687BB" w:rsidR="003E25EC" w:rsidRPr="00384016" w:rsidRDefault="003E25EC" w:rsidP="00853643">
            <w:pPr>
              <w:spacing w:line="276" w:lineRule="auto"/>
              <w:jc w:val="center"/>
              <w:rPr>
                <w:rFonts w:cs="Calibri"/>
                <w:b/>
                <w:bCs/>
                <w:color w:val="000000"/>
                <w:szCs w:val="21"/>
                <w:lang w:eastAsia="nl-NL"/>
              </w:rPr>
            </w:pPr>
            <w:r w:rsidRPr="00384016">
              <w:rPr>
                <w:rFonts w:cs="Calibri"/>
                <w:b/>
                <w:bCs/>
                <w:color w:val="000000"/>
                <w:szCs w:val="21"/>
                <w:lang w:eastAsia="nl-NL"/>
              </w:rPr>
              <w:t>Realisatie 202</w:t>
            </w:r>
            <w:r w:rsidR="0041332C">
              <w:rPr>
                <w:rFonts w:cs="Calibri"/>
                <w:b/>
                <w:bCs/>
                <w:color w:val="000000"/>
                <w:szCs w:val="21"/>
                <w:lang w:eastAsia="nl-NL"/>
              </w:rPr>
              <w:t>2</w:t>
            </w:r>
          </w:p>
        </w:tc>
        <w:tc>
          <w:tcPr>
            <w:tcW w:w="1036"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94C7FA7" w14:textId="08075B56" w:rsidR="003E25EC" w:rsidRPr="00384016" w:rsidRDefault="003E25EC" w:rsidP="00853643">
            <w:pPr>
              <w:spacing w:line="276" w:lineRule="auto"/>
              <w:jc w:val="center"/>
              <w:rPr>
                <w:rFonts w:cs="Calibri"/>
                <w:b/>
                <w:bCs/>
                <w:color w:val="000000"/>
                <w:szCs w:val="21"/>
                <w:lang w:eastAsia="nl-NL"/>
              </w:rPr>
            </w:pPr>
            <w:r w:rsidRPr="00384016">
              <w:rPr>
                <w:rFonts w:cs="Calibri"/>
                <w:b/>
                <w:bCs/>
                <w:color w:val="000000"/>
                <w:szCs w:val="21"/>
                <w:lang w:eastAsia="nl-NL"/>
              </w:rPr>
              <w:t>Begroting 202</w:t>
            </w:r>
            <w:r w:rsidR="0041332C">
              <w:rPr>
                <w:rFonts w:cs="Calibri"/>
                <w:b/>
                <w:bCs/>
                <w:color w:val="000000"/>
                <w:szCs w:val="21"/>
                <w:lang w:eastAsia="nl-NL"/>
              </w:rPr>
              <w:t>3</w:t>
            </w:r>
          </w:p>
        </w:tc>
        <w:tc>
          <w:tcPr>
            <w:tcW w:w="1185" w:type="dxa"/>
            <w:tcBorders>
              <w:top w:val="single" w:sz="8" w:space="0" w:color="auto"/>
              <w:left w:val="nil"/>
              <w:bottom w:val="single" w:sz="8" w:space="0" w:color="auto"/>
              <w:right w:val="single" w:sz="8" w:space="0" w:color="auto"/>
            </w:tcBorders>
            <w:shd w:val="clear" w:color="000000" w:fill="D9D9D9"/>
            <w:vAlign w:val="center"/>
            <w:hideMark/>
          </w:tcPr>
          <w:p w14:paraId="36CA0DB3" w14:textId="6339D828" w:rsidR="003E25EC" w:rsidRPr="00384016" w:rsidRDefault="003E25EC" w:rsidP="00853643">
            <w:pPr>
              <w:spacing w:line="276" w:lineRule="auto"/>
              <w:jc w:val="center"/>
              <w:rPr>
                <w:rFonts w:cs="Calibri"/>
                <w:b/>
                <w:bCs/>
                <w:color w:val="000000"/>
                <w:szCs w:val="21"/>
                <w:lang w:eastAsia="nl-NL"/>
              </w:rPr>
            </w:pPr>
            <w:r w:rsidRPr="00384016">
              <w:rPr>
                <w:rFonts w:cs="Calibri"/>
                <w:b/>
                <w:bCs/>
                <w:color w:val="000000"/>
                <w:szCs w:val="21"/>
                <w:lang w:eastAsia="nl-NL"/>
              </w:rPr>
              <w:t>Realisatie 202</w:t>
            </w:r>
            <w:r w:rsidR="0041332C">
              <w:rPr>
                <w:rFonts w:cs="Calibri"/>
                <w:b/>
                <w:bCs/>
                <w:color w:val="000000"/>
                <w:szCs w:val="21"/>
                <w:lang w:eastAsia="nl-NL"/>
              </w:rPr>
              <w:t>3</w:t>
            </w:r>
          </w:p>
        </w:tc>
        <w:tc>
          <w:tcPr>
            <w:tcW w:w="1556" w:type="dxa"/>
            <w:tcBorders>
              <w:top w:val="single" w:sz="8" w:space="0" w:color="auto"/>
              <w:left w:val="nil"/>
              <w:bottom w:val="single" w:sz="8" w:space="0" w:color="auto"/>
              <w:right w:val="single" w:sz="8" w:space="0" w:color="auto"/>
            </w:tcBorders>
            <w:shd w:val="clear" w:color="000000" w:fill="D9D9D9"/>
            <w:vAlign w:val="center"/>
            <w:hideMark/>
          </w:tcPr>
          <w:p w14:paraId="007C5250" w14:textId="0761A8A7" w:rsidR="003E25EC" w:rsidRPr="00384016" w:rsidRDefault="003E25EC" w:rsidP="00853643">
            <w:pPr>
              <w:spacing w:line="276" w:lineRule="auto"/>
              <w:jc w:val="center"/>
              <w:rPr>
                <w:rFonts w:cs="Calibri"/>
                <w:b/>
                <w:bCs/>
                <w:color w:val="000000"/>
                <w:szCs w:val="21"/>
                <w:lang w:eastAsia="nl-NL"/>
              </w:rPr>
            </w:pPr>
            <w:r w:rsidRPr="00384016">
              <w:rPr>
                <w:rFonts w:cs="Calibri"/>
                <w:b/>
                <w:bCs/>
                <w:color w:val="000000"/>
                <w:szCs w:val="21"/>
                <w:lang w:eastAsia="nl-NL"/>
              </w:rPr>
              <w:t>Afwijking 202</w:t>
            </w:r>
            <w:r w:rsidR="000D04CD">
              <w:rPr>
                <w:rFonts w:cs="Calibri"/>
                <w:b/>
                <w:bCs/>
                <w:color w:val="000000"/>
                <w:szCs w:val="21"/>
                <w:lang w:eastAsia="nl-NL"/>
              </w:rPr>
              <w:t>3 t.o.v. 2022</w:t>
            </w:r>
          </w:p>
        </w:tc>
      </w:tr>
      <w:tr w:rsidR="000D04CD" w:rsidRPr="00384016" w14:paraId="33B97525" w14:textId="77777777" w:rsidTr="000D04CD">
        <w:trPr>
          <w:trHeight w:val="375"/>
        </w:trPr>
        <w:tc>
          <w:tcPr>
            <w:tcW w:w="4526" w:type="dxa"/>
            <w:tcBorders>
              <w:top w:val="nil"/>
              <w:left w:val="single" w:sz="8" w:space="0" w:color="auto"/>
              <w:bottom w:val="single" w:sz="8" w:space="0" w:color="auto"/>
              <w:right w:val="single" w:sz="8" w:space="0" w:color="auto"/>
            </w:tcBorders>
            <w:shd w:val="clear" w:color="auto" w:fill="auto"/>
            <w:noWrap/>
            <w:hideMark/>
          </w:tcPr>
          <w:p w14:paraId="778D78B7" w14:textId="191CA27F" w:rsidR="000D04CD" w:rsidRPr="00384016" w:rsidRDefault="000D04CD" w:rsidP="000D04CD">
            <w:pPr>
              <w:spacing w:line="276" w:lineRule="auto"/>
              <w:rPr>
                <w:rFonts w:cs="Calibri"/>
                <w:color w:val="000000"/>
                <w:szCs w:val="21"/>
                <w:lang w:eastAsia="nl-NL"/>
              </w:rPr>
            </w:pPr>
            <w:proofErr w:type="spellStart"/>
            <w:r w:rsidRPr="00384016">
              <w:t>GGz</w:t>
            </w:r>
            <w:proofErr w:type="spellEnd"/>
          </w:p>
        </w:tc>
        <w:tc>
          <w:tcPr>
            <w:tcW w:w="1040" w:type="dxa"/>
            <w:tcBorders>
              <w:top w:val="single" w:sz="8" w:space="0" w:color="auto"/>
              <w:left w:val="nil"/>
              <w:bottom w:val="single" w:sz="8" w:space="0" w:color="auto"/>
              <w:right w:val="single" w:sz="4" w:space="0" w:color="auto"/>
            </w:tcBorders>
          </w:tcPr>
          <w:p w14:paraId="095CEF7B" w14:textId="62B0B17B" w:rsidR="000D04CD" w:rsidRPr="00384016" w:rsidRDefault="000D04CD" w:rsidP="000D04CD">
            <w:pPr>
              <w:spacing w:line="276" w:lineRule="auto"/>
              <w:jc w:val="right"/>
              <w:rPr>
                <w:rFonts w:cs="Calibri"/>
                <w:color w:val="000000"/>
                <w:szCs w:val="21"/>
                <w:lang w:eastAsia="nl-NL"/>
              </w:rPr>
            </w:pPr>
            <w:r w:rsidRPr="00AF550A">
              <w:t>1.414</w:t>
            </w:r>
          </w:p>
        </w:tc>
        <w:tc>
          <w:tcPr>
            <w:tcW w:w="1036" w:type="dxa"/>
            <w:tcBorders>
              <w:top w:val="single" w:sz="8" w:space="0" w:color="auto"/>
              <w:left w:val="single" w:sz="4" w:space="0" w:color="auto"/>
              <w:bottom w:val="single" w:sz="8" w:space="0" w:color="auto"/>
              <w:right w:val="single" w:sz="8" w:space="0" w:color="auto"/>
            </w:tcBorders>
            <w:shd w:val="clear" w:color="auto" w:fill="auto"/>
            <w:noWrap/>
            <w:hideMark/>
          </w:tcPr>
          <w:p w14:paraId="4D5C03D8" w14:textId="1A8A30DA" w:rsidR="000D04CD" w:rsidRPr="00384016" w:rsidRDefault="000D04CD" w:rsidP="000D04CD">
            <w:pPr>
              <w:spacing w:line="276" w:lineRule="auto"/>
              <w:jc w:val="right"/>
              <w:rPr>
                <w:rFonts w:cs="Calibri"/>
                <w:color w:val="000000"/>
                <w:szCs w:val="21"/>
                <w:lang w:eastAsia="nl-NL"/>
              </w:rPr>
            </w:pPr>
            <w:r w:rsidRPr="00AF550A">
              <w:t>0</w:t>
            </w:r>
          </w:p>
        </w:tc>
        <w:tc>
          <w:tcPr>
            <w:tcW w:w="1185" w:type="dxa"/>
            <w:tcBorders>
              <w:top w:val="nil"/>
              <w:left w:val="nil"/>
              <w:bottom w:val="single" w:sz="8" w:space="0" w:color="auto"/>
              <w:right w:val="single" w:sz="8" w:space="0" w:color="auto"/>
            </w:tcBorders>
            <w:shd w:val="clear" w:color="auto" w:fill="auto"/>
            <w:noWrap/>
            <w:hideMark/>
          </w:tcPr>
          <w:p w14:paraId="5E0C5E38" w14:textId="643A5A7F" w:rsidR="000D04CD" w:rsidRPr="00384016" w:rsidRDefault="000D04CD" w:rsidP="000D04CD">
            <w:pPr>
              <w:spacing w:line="276" w:lineRule="auto"/>
              <w:jc w:val="right"/>
              <w:rPr>
                <w:rFonts w:cs="Calibri"/>
                <w:color w:val="000000"/>
                <w:szCs w:val="21"/>
                <w:lang w:eastAsia="nl-NL"/>
              </w:rPr>
            </w:pPr>
            <w:r w:rsidRPr="00AF550A">
              <w:t>159</w:t>
            </w:r>
          </w:p>
        </w:tc>
        <w:tc>
          <w:tcPr>
            <w:tcW w:w="1556" w:type="dxa"/>
            <w:tcBorders>
              <w:top w:val="nil"/>
              <w:left w:val="nil"/>
              <w:bottom w:val="single" w:sz="8" w:space="0" w:color="auto"/>
              <w:right w:val="single" w:sz="8" w:space="0" w:color="auto"/>
            </w:tcBorders>
            <w:shd w:val="clear" w:color="auto" w:fill="auto"/>
            <w:noWrap/>
            <w:hideMark/>
          </w:tcPr>
          <w:p w14:paraId="1B8761A3" w14:textId="213B43C8" w:rsidR="000D04CD" w:rsidRPr="00384016" w:rsidRDefault="000D04CD" w:rsidP="000D04CD">
            <w:pPr>
              <w:spacing w:line="276" w:lineRule="auto"/>
              <w:jc w:val="right"/>
              <w:rPr>
                <w:rFonts w:cs="Calibri"/>
                <w:color w:val="000000"/>
                <w:szCs w:val="21"/>
                <w:lang w:eastAsia="nl-NL"/>
              </w:rPr>
            </w:pPr>
            <w:r w:rsidRPr="00AF550A">
              <w:t>1.255</w:t>
            </w:r>
          </w:p>
        </w:tc>
      </w:tr>
      <w:tr w:rsidR="000D04CD" w:rsidRPr="00384016" w14:paraId="7F3FF92B" w14:textId="77777777" w:rsidTr="000D04CD">
        <w:trPr>
          <w:trHeight w:val="375"/>
        </w:trPr>
        <w:tc>
          <w:tcPr>
            <w:tcW w:w="4526" w:type="dxa"/>
            <w:tcBorders>
              <w:top w:val="nil"/>
              <w:left w:val="single" w:sz="8" w:space="0" w:color="auto"/>
              <w:bottom w:val="single" w:sz="8" w:space="0" w:color="auto"/>
              <w:right w:val="single" w:sz="8" w:space="0" w:color="auto"/>
            </w:tcBorders>
            <w:shd w:val="clear" w:color="auto" w:fill="auto"/>
            <w:noWrap/>
            <w:hideMark/>
          </w:tcPr>
          <w:p w14:paraId="6CCFD87E" w14:textId="19C25B4E" w:rsidR="000D04CD" w:rsidRPr="00384016" w:rsidRDefault="000D04CD" w:rsidP="000D04CD">
            <w:pPr>
              <w:spacing w:line="276" w:lineRule="auto"/>
            </w:pPr>
            <w:r w:rsidRPr="00384016">
              <w:t>Opvoedhulp, verblijf en Ambulante zorg</w:t>
            </w:r>
            <w:r>
              <w:t xml:space="preserve"> (</w:t>
            </w:r>
            <w:proofErr w:type="spellStart"/>
            <w:r>
              <w:t>incl</w:t>
            </w:r>
            <w:proofErr w:type="spellEnd"/>
            <w:r>
              <w:t xml:space="preserve"> LVB)</w:t>
            </w:r>
          </w:p>
        </w:tc>
        <w:tc>
          <w:tcPr>
            <w:tcW w:w="1040" w:type="dxa"/>
            <w:tcBorders>
              <w:top w:val="single" w:sz="8" w:space="0" w:color="auto"/>
              <w:left w:val="nil"/>
              <w:bottom w:val="single" w:sz="8" w:space="0" w:color="auto"/>
              <w:right w:val="single" w:sz="4" w:space="0" w:color="auto"/>
            </w:tcBorders>
          </w:tcPr>
          <w:p w14:paraId="7CB1419F" w14:textId="28015405" w:rsidR="000D04CD" w:rsidRPr="00384016" w:rsidRDefault="000D04CD" w:rsidP="000D04CD">
            <w:pPr>
              <w:spacing w:line="276" w:lineRule="auto"/>
              <w:jc w:val="right"/>
              <w:rPr>
                <w:rFonts w:cs="Calibri"/>
                <w:color w:val="000000"/>
                <w:szCs w:val="21"/>
                <w:lang w:eastAsia="nl-NL"/>
              </w:rPr>
            </w:pPr>
            <w:r w:rsidRPr="00AF550A">
              <w:t>5.524</w:t>
            </w:r>
          </w:p>
        </w:tc>
        <w:tc>
          <w:tcPr>
            <w:tcW w:w="1036" w:type="dxa"/>
            <w:tcBorders>
              <w:top w:val="single" w:sz="8" w:space="0" w:color="auto"/>
              <w:left w:val="single" w:sz="4" w:space="0" w:color="auto"/>
              <w:bottom w:val="single" w:sz="8" w:space="0" w:color="auto"/>
              <w:right w:val="single" w:sz="8" w:space="0" w:color="auto"/>
            </w:tcBorders>
            <w:shd w:val="clear" w:color="auto" w:fill="auto"/>
            <w:noWrap/>
            <w:hideMark/>
          </w:tcPr>
          <w:p w14:paraId="372F67AC" w14:textId="019CA193" w:rsidR="000D04CD" w:rsidRPr="00384016" w:rsidRDefault="000D04CD" w:rsidP="000D04CD">
            <w:pPr>
              <w:spacing w:line="276" w:lineRule="auto"/>
              <w:jc w:val="right"/>
              <w:rPr>
                <w:rFonts w:cs="Calibri"/>
                <w:color w:val="000000"/>
                <w:szCs w:val="21"/>
                <w:lang w:eastAsia="nl-NL"/>
              </w:rPr>
            </w:pPr>
            <w:r w:rsidRPr="00AF550A">
              <w:t>0</w:t>
            </w:r>
          </w:p>
        </w:tc>
        <w:tc>
          <w:tcPr>
            <w:tcW w:w="1185" w:type="dxa"/>
            <w:tcBorders>
              <w:top w:val="nil"/>
              <w:left w:val="nil"/>
              <w:bottom w:val="single" w:sz="8" w:space="0" w:color="auto"/>
              <w:right w:val="single" w:sz="8" w:space="0" w:color="auto"/>
            </w:tcBorders>
            <w:shd w:val="clear" w:color="auto" w:fill="auto"/>
            <w:noWrap/>
            <w:hideMark/>
          </w:tcPr>
          <w:p w14:paraId="30A91584" w14:textId="21376755" w:rsidR="000D04CD" w:rsidRPr="00384016" w:rsidRDefault="000D04CD" w:rsidP="000D04CD">
            <w:pPr>
              <w:spacing w:line="276" w:lineRule="auto"/>
              <w:jc w:val="right"/>
              <w:rPr>
                <w:rFonts w:cs="Calibri"/>
                <w:color w:val="000000"/>
                <w:szCs w:val="21"/>
                <w:lang w:eastAsia="nl-NL"/>
              </w:rPr>
            </w:pPr>
            <w:r w:rsidRPr="00AF550A">
              <w:t>972</w:t>
            </w:r>
          </w:p>
        </w:tc>
        <w:tc>
          <w:tcPr>
            <w:tcW w:w="1556" w:type="dxa"/>
            <w:tcBorders>
              <w:top w:val="nil"/>
              <w:left w:val="nil"/>
              <w:bottom w:val="single" w:sz="8" w:space="0" w:color="auto"/>
              <w:right w:val="single" w:sz="8" w:space="0" w:color="auto"/>
            </w:tcBorders>
            <w:shd w:val="clear" w:color="auto" w:fill="auto"/>
            <w:noWrap/>
            <w:hideMark/>
          </w:tcPr>
          <w:p w14:paraId="61AB2F3C" w14:textId="10323056" w:rsidR="000D04CD" w:rsidRPr="00384016" w:rsidRDefault="000D04CD" w:rsidP="000D04CD">
            <w:pPr>
              <w:spacing w:line="276" w:lineRule="auto"/>
              <w:jc w:val="right"/>
              <w:rPr>
                <w:rFonts w:cs="Calibri"/>
                <w:color w:val="000000"/>
                <w:szCs w:val="21"/>
                <w:lang w:eastAsia="nl-NL"/>
              </w:rPr>
            </w:pPr>
            <w:r w:rsidRPr="00AF550A">
              <w:t>4.552</w:t>
            </w:r>
          </w:p>
        </w:tc>
      </w:tr>
      <w:tr w:rsidR="000D04CD" w:rsidRPr="00384016" w14:paraId="181E0022" w14:textId="77777777" w:rsidTr="000D04CD">
        <w:trPr>
          <w:trHeight w:val="375"/>
        </w:trPr>
        <w:tc>
          <w:tcPr>
            <w:tcW w:w="4526" w:type="dxa"/>
            <w:tcBorders>
              <w:top w:val="nil"/>
              <w:left w:val="single" w:sz="8" w:space="0" w:color="auto"/>
              <w:bottom w:val="single" w:sz="8" w:space="0" w:color="auto"/>
              <w:right w:val="single" w:sz="8" w:space="0" w:color="auto"/>
            </w:tcBorders>
            <w:shd w:val="clear" w:color="auto" w:fill="auto"/>
            <w:noWrap/>
          </w:tcPr>
          <w:p w14:paraId="5446E7CC" w14:textId="79A2662A" w:rsidR="000D04CD" w:rsidRPr="00384016" w:rsidRDefault="000D04CD" w:rsidP="000D04CD">
            <w:pPr>
              <w:spacing w:line="276" w:lineRule="auto"/>
              <w:rPr>
                <w:rFonts w:cs="Calibri"/>
                <w:color w:val="000000"/>
                <w:szCs w:val="21"/>
                <w:lang w:eastAsia="nl-NL"/>
              </w:rPr>
            </w:pPr>
            <w:r w:rsidRPr="00384016">
              <w:t>Regionale inkoop risicostelpost</w:t>
            </w:r>
          </w:p>
        </w:tc>
        <w:tc>
          <w:tcPr>
            <w:tcW w:w="1040" w:type="dxa"/>
            <w:tcBorders>
              <w:top w:val="single" w:sz="8" w:space="0" w:color="auto"/>
              <w:left w:val="nil"/>
              <w:bottom w:val="single" w:sz="8" w:space="0" w:color="auto"/>
              <w:right w:val="single" w:sz="4" w:space="0" w:color="auto"/>
            </w:tcBorders>
          </w:tcPr>
          <w:p w14:paraId="3F375CA5" w14:textId="53D79ACB" w:rsidR="000D04CD" w:rsidRPr="00384016" w:rsidRDefault="000D04CD" w:rsidP="000D04CD">
            <w:pPr>
              <w:spacing w:line="276" w:lineRule="auto"/>
              <w:jc w:val="right"/>
              <w:rPr>
                <w:rFonts w:cs="Calibri"/>
                <w:color w:val="000000"/>
                <w:szCs w:val="21"/>
                <w:lang w:eastAsia="nl-NL"/>
              </w:rPr>
            </w:pPr>
            <w:r w:rsidRPr="00AF550A">
              <w:t>0</w:t>
            </w:r>
          </w:p>
        </w:tc>
        <w:tc>
          <w:tcPr>
            <w:tcW w:w="1036" w:type="dxa"/>
            <w:tcBorders>
              <w:top w:val="single" w:sz="8" w:space="0" w:color="auto"/>
              <w:left w:val="single" w:sz="4" w:space="0" w:color="auto"/>
              <w:bottom w:val="single" w:sz="8" w:space="0" w:color="auto"/>
              <w:right w:val="single" w:sz="8" w:space="0" w:color="auto"/>
            </w:tcBorders>
            <w:shd w:val="clear" w:color="auto" w:fill="auto"/>
            <w:noWrap/>
          </w:tcPr>
          <w:p w14:paraId="49E9F01F" w14:textId="4C4FCFF5" w:rsidR="000D04CD" w:rsidRPr="00384016" w:rsidRDefault="000D04CD" w:rsidP="000D04CD">
            <w:pPr>
              <w:spacing w:line="276" w:lineRule="auto"/>
              <w:jc w:val="right"/>
              <w:rPr>
                <w:rFonts w:cs="Calibri"/>
                <w:color w:val="000000"/>
                <w:szCs w:val="21"/>
                <w:lang w:eastAsia="nl-NL"/>
              </w:rPr>
            </w:pPr>
            <w:r w:rsidRPr="00AF550A">
              <w:t>960</w:t>
            </w:r>
          </w:p>
        </w:tc>
        <w:tc>
          <w:tcPr>
            <w:tcW w:w="1185" w:type="dxa"/>
            <w:tcBorders>
              <w:top w:val="nil"/>
              <w:left w:val="nil"/>
              <w:bottom w:val="single" w:sz="8" w:space="0" w:color="auto"/>
              <w:right w:val="single" w:sz="8" w:space="0" w:color="auto"/>
            </w:tcBorders>
            <w:shd w:val="clear" w:color="auto" w:fill="auto"/>
            <w:noWrap/>
          </w:tcPr>
          <w:p w14:paraId="2EADA85C" w14:textId="20BA33BE" w:rsidR="000D04CD" w:rsidRPr="00384016" w:rsidRDefault="000D04CD" w:rsidP="000D04CD">
            <w:pPr>
              <w:spacing w:line="276" w:lineRule="auto"/>
              <w:jc w:val="right"/>
              <w:rPr>
                <w:rFonts w:cs="Calibri"/>
                <w:color w:val="000000"/>
                <w:szCs w:val="21"/>
                <w:lang w:eastAsia="nl-NL"/>
              </w:rPr>
            </w:pPr>
            <w:r w:rsidRPr="00AF550A">
              <w:t>0</w:t>
            </w:r>
          </w:p>
        </w:tc>
        <w:tc>
          <w:tcPr>
            <w:tcW w:w="1556" w:type="dxa"/>
            <w:tcBorders>
              <w:top w:val="nil"/>
              <w:left w:val="nil"/>
              <w:bottom w:val="single" w:sz="8" w:space="0" w:color="auto"/>
              <w:right w:val="single" w:sz="8" w:space="0" w:color="auto"/>
            </w:tcBorders>
            <w:shd w:val="clear" w:color="auto" w:fill="auto"/>
            <w:noWrap/>
          </w:tcPr>
          <w:p w14:paraId="572095C1" w14:textId="517DCD3C" w:rsidR="000D04CD" w:rsidRPr="00384016" w:rsidRDefault="000D04CD" w:rsidP="000D04CD">
            <w:pPr>
              <w:spacing w:line="276" w:lineRule="auto"/>
              <w:jc w:val="right"/>
              <w:rPr>
                <w:rFonts w:cs="Calibri"/>
                <w:color w:val="000000"/>
                <w:szCs w:val="21"/>
                <w:lang w:eastAsia="nl-NL"/>
              </w:rPr>
            </w:pPr>
            <w:r w:rsidRPr="00AF550A">
              <w:t>0</w:t>
            </w:r>
          </w:p>
        </w:tc>
      </w:tr>
      <w:tr w:rsidR="000D04CD" w:rsidRPr="00384016" w14:paraId="23770CF9" w14:textId="77777777" w:rsidTr="000D04CD">
        <w:trPr>
          <w:trHeight w:val="375"/>
        </w:trPr>
        <w:tc>
          <w:tcPr>
            <w:tcW w:w="4526" w:type="dxa"/>
            <w:tcBorders>
              <w:top w:val="nil"/>
              <w:left w:val="single" w:sz="8" w:space="0" w:color="auto"/>
              <w:bottom w:val="single" w:sz="8" w:space="0" w:color="auto"/>
              <w:right w:val="single" w:sz="8" w:space="0" w:color="auto"/>
            </w:tcBorders>
            <w:shd w:val="clear" w:color="auto" w:fill="auto"/>
            <w:noWrap/>
          </w:tcPr>
          <w:p w14:paraId="1B51E87B" w14:textId="64EE6B49" w:rsidR="000D04CD" w:rsidRPr="00384016" w:rsidRDefault="000D04CD" w:rsidP="000D04CD">
            <w:pPr>
              <w:spacing w:line="276" w:lineRule="auto"/>
            </w:pPr>
            <w:r w:rsidRPr="000D04CD">
              <w:t>Regionale inkoop Jeugd: HCV</w:t>
            </w:r>
          </w:p>
        </w:tc>
        <w:tc>
          <w:tcPr>
            <w:tcW w:w="1040" w:type="dxa"/>
            <w:tcBorders>
              <w:top w:val="single" w:sz="8" w:space="0" w:color="auto"/>
              <w:left w:val="nil"/>
              <w:bottom w:val="single" w:sz="8" w:space="0" w:color="auto"/>
              <w:right w:val="single" w:sz="4" w:space="0" w:color="auto"/>
            </w:tcBorders>
          </w:tcPr>
          <w:p w14:paraId="30508728" w14:textId="7E5417F0" w:rsidR="000D04CD" w:rsidRPr="00384016" w:rsidRDefault="000D04CD" w:rsidP="000D04CD">
            <w:pPr>
              <w:spacing w:line="276" w:lineRule="auto"/>
              <w:jc w:val="right"/>
            </w:pPr>
            <w:r w:rsidRPr="00AF550A">
              <w:t>0</w:t>
            </w:r>
          </w:p>
        </w:tc>
        <w:tc>
          <w:tcPr>
            <w:tcW w:w="1036" w:type="dxa"/>
            <w:tcBorders>
              <w:top w:val="single" w:sz="8" w:space="0" w:color="auto"/>
              <w:left w:val="single" w:sz="4" w:space="0" w:color="auto"/>
              <w:bottom w:val="single" w:sz="8" w:space="0" w:color="auto"/>
              <w:right w:val="single" w:sz="8" w:space="0" w:color="auto"/>
            </w:tcBorders>
            <w:shd w:val="clear" w:color="auto" w:fill="auto"/>
            <w:noWrap/>
          </w:tcPr>
          <w:p w14:paraId="1C5DE685" w14:textId="2BBC38AB" w:rsidR="000D04CD" w:rsidRPr="00384016" w:rsidRDefault="000D04CD" w:rsidP="000D04CD">
            <w:pPr>
              <w:spacing w:line="276" w:lineRule="auto"/>
              <w:jc w:val="right"/>
            </w:pPr>
            <w:r w:rsidRPr="00AF550A">
              <w:t>560</w:t>
            </w:r>
          </w:p>
        </w:tc>
        <w:tc>
          <w:tcPr>
            <w:tcW w:w="1185" w:type="dxa"/>
            <w:tcBorders>
              <w:top w:val="nil"/>
              <w:left w:val="nil"/>
              <w:bottom w:val="single" w:sz="8" w:space="0" w:color="auto"/>
              <w:right w:val="single" w:sz="8" w:space="0" w:color="auto"/>
            </w:tcBorders>
            <w:shd w:val="clear" w:color="auto" w:fill="auto"/>
            <w:noWrap/>
          </w:tcPr>
          <w:p w14:paraId="59613FC0" w14:textId="3DE64E38" w:rsidR="000D04CD" w:rsidRPr="00384016" w:rsidRDefault="000D04CD" w:rsidP="000D04CD">
            <w:pPr>
              <w:spacing w:line="276" w:lineRule="auto"/>
              <w:jc w:val="right"/>
            </w:pPr>
            <w:r w:rsidRPr="00AF550A">
              <w:t>1.054</w:t>
            </w:r>
          </w:p>
        </w:tc>
        <w:tc>
          <w:tcPr>
            <w:tcW w:w="1556" w:type="dxa"/>
            <w:tcBorders>
              <w:top w:val="nil"/>
              <w:left w:val="nil"/>
              <w:bottom w:val="single" w:sz="8" w:space="0" w:color="auto"/>
              <w:right w:val="single" w:sz="8" w:space="0" w:color="auto"/>
            </w:tcBorders>
            <w:shd w:val="clear" w:color="auto" w:fill="auto"/>
            <w:noWrap/>
          </w:tcPr>
          <w:p w14:paraId="02D794E0" w14:textId="47538798" w:rsidR="000D04CD" w:rsidRPr="00384016" w:rsidRDefault="000D04CD" w:rsidP="000D04CD">
            <w:pPr>
              <w:spacing w:line="276" w:lineRule="auto"/>
              <w:jc w:val="right"/>
            </w:pPr>
            <w:r w:rsidRPr="00AF550A">
              <w:t>-1.054</w:t>
            </w:r>
          </w:p>
        </w:tc>
      </w:tr>
      <w:tr w:rsidR="000D04CD" w:rsidRPr="00384016" w14:paraId="4A6509F9" w14:textId="77777777" w:rsidTr="000D04CD">
        <w:trPr>
          <w:trHeight w:val="375"/>
        </w:trPr>
        <w:tc>
          <w:tcPr>
            <w:tcW w:w="4526" w:type="dxa"/>
            <w:tcBorders>
              <w:top w:val="nil"/>
              <w:left w:val="single" w:sz="8" w:space="0" w:color="auto"/>
              <w:bottom w:val="single" w:sz="8" w:space="0" w:color="auto"/>
              <w:right w:val="single" w:sz="8" w:space="0" w:color="auto"/>
            </w:tcBorders>
            <w:shd w:val="clear" w:color="auto" w:fill="auto"/>
            <w:noWrap/>
          </w:tcPr>
          <w:p w14:paraId="51F7C4DC" w14:textId="114AF5D9" w:rsidR="000D04CD" w:rsidRPr="00384016" w:rsidRDefault="000D04CD" w:rsidP="000D04CD">
            <w:pPr>
              <w:spacing w:line="276" w:lineRule="auto"/>
              <w:rPr>
                <w:rFonts w:cs="Calibri"/>
                <w:color w:val="000000"/>
                <w:szCs w:val="21"/>
                <w:lang w:eastAsia="nl-NL"/>
              </w:rPr>
            </w:pPr>
            <w:r w:rsidRPr="00384016">
              <w:t>Regionale inkoop Jeugd: GWV</w:t>
            </w:r>
          </w:p>
        </w:tc>
        <w:tc>
          <w:tcPr>
            <w:tcW w:w="1040" w:type="dxa"/>
            <w:tcBorders>
              <w:top w:val="single" w:sz="8" w:space="0" w:color="auto"/>
              <w:left w:val="nil"/>
              <w:bottom w:val="single" w:sz="8" w:space="0" w:color="auto"/>
              <w:right w:val="single" w:sz="4" w:space="0" w:color="auto"/>
            </w:tcBorders>
          </w:tcPr>
          <w:p w14:paraId="294801B7" w14:textId="26B61B26" w:rsidR="000D04CD" w:rsidRPr="00384016" w:rsidRDefault="000D04CD" w:rsidP="000D04CD">
            <w:pPr>
              <w:spacing w:line="276" w:lineRule="auto"/>
              <w:jc w:val="right"/>
              <w:rPr>
                <w:rFonts w:cs="Calibri"/>
                <w:color w:val="000000"/>
                <w:szCs w:val="21"/>
                <w:lang w:eastAsia="nl-NL"/>
              </w:rPr>
            </w:pPr>
            <w:r w:rsidRPr="00AF550A">
              <w:t>1.174</w:t>
            </w:r>
          </w:p>
        </w:tc>
        <w:tc>
          <w:tcPr>
            <w:tcW w:w="1036" w:type="dxa"/>
            <w:tcBorders>
              <w:top w:val="single" w:sz="8" w:space="0" w:color="auto"/>
              <w:left w:val="single" w:sz="4" w:space="0" w:color="auto"/>
              <w:bottom w:val="single" w:sz="8" w:space="0" w:color="auto"/>
              <w:right w:val="single" w:sz="8" w:space="0" w:color="auto"/>
            </w:tcBorders>
            <w:shd w:val="clear" w:color="auto" w:fill="auto"/>
            <w:noWrap/>
          </w:tcPr>
          <w:p w14:paraId="4A76A27F" w14:textId="2801DC14" w:rsidR="000D04CD" w:rsidRPr="00384016" w:rsidRDefault="000D04CD" w:rsidP="000D04CD">
            <w:pPr>
              <w:spacing w:line="276" w:lineRule="auto"/>
              <w:jc w:val="right"/>
              <w:rPr>
                <w:rFonts w:cs="Calibri"/>
                <w:color w:val="000000"/>
                <w:szCs w:val="21"/>
                <w:lang w:eastAsia="nl-NL"/>
              </w:rPr>
            </w:pPr>
            <w:r w:rsidRPr="00AF550A">
              <w:t>3.756</w:t>
            </w:r>
          </w:p>
        </w:tc>
        <w:tc>
          <w:tcPr>
            <w:tcW w:w="1185" w:type="dxa"/>
            <w:tcBorders>
              <w:top w:val="nil"/>
              <w:left w:val="nil"/>
              <w:bottom w:val="single" w:sz="8" w:space="0" w:color="auto"/>
              <w:right w:val="single" w:sz="8" w:space="0" w:color="auto"/>
            </w:tcBorders>
            <w:shd w:val="clear" w:color="auto" w:fill="auto"/>
            <w:noWrap/>
          </w:tcPr>
          <w:p w14:paraId="4444B3E2" w14:textId="362F96E3" w:rsidR="000D04CD" w:rsidRPr="00384016" w:rsidRDefault="000D04CD" w:rsidP="000D04CD">
            <w:pPr>
              <w:spacing w:line="276" w:lineRule="auto"/>
              <w:jc w:val="right"/>
              <w:rPr>
                <w:rFonts w:cs="Calibri"/>
                <w:color w:val="000000"/>
                <w:szCs w:val="21"/>
                <w:lang w:eastAsia="nl-NL"/>
              </w:rPr>
            </w:pPr>
            <w:r w:rsidRPr="00AF550A">
              <w:t>2.796</w:t>
            </w:r>
          </w:p>
        </w:tc>
        <w:tc>
          <w:tcPr>
            <w:tcW w:w="1556" w:type="dxa"/>
            <w:tcBorders>
              <w:top w:val="nil"/>
              <w:left w:val="nil"/>
              <w:bottom w:val="single" w:sz="8" w:space="0" w:color="auto"/>
              <w:right w:val="single" w:sz="8" w:space="0" w:color="auto"/>
            </w:tcBorders>
            <w:shd w:val="clear" w:color="auto" w:fill="auto"/>
            <w:noWrap/>
          </w:tcPr>
          <w:p w14:paraId="1AB5C576" w14:textId="0702CFF4" w:rsidR="000D04CD" w:rsidRPr="00384016" w:rsidRDefault="000D04CD" w:rsidP="000D04CD">
            <w:pPr>
              <w:spacing w:line="276" w:lineRule="auto"/>
              <w:jc w:val="right"/>
              <w:rPr>
                <w:rFonts w:cs="Calibri"/>
                <w:color w:val="000000"/>
                <w:szCs w:val="21"/>
                <w:lang w:eastAsia="nl-NL"/>
              </w:rPr>
            </w:pPr>
            <w:r w:rsidRPr="00AF550A">
              <w:t>-1.622</w:t>
            </w:r>
          </w:p>
        </w:tc>
      </w:tr>
      <w:tr w:rsidR="000D04CD" w:rsidRPr="00384016" w14:paraId="3498FA7D" w14:textId="77777777" w:rsidTr="000D04CD">
        <w:trPr>
          <w:trHeight w:val="375"/>
        </w:trPr>
        <w:tc>
          <w:tcPr>
            <w:tcW w:w="4526" w:type="dxa"/>
            <w:tcBorders>
              <w:top w:val="nil"/>
              <w:left w:val="single" w:sz="8" w:space="0" w:color="auto"/>
              <w:bottom w:val="single" w:sz="8" w:space="0" w:color="auto"/>
              <w:right w:val="single" w:sz="8" w:space="0" w:color="auto"/>
            </w:tcBorders>
            <w:shd w:val="clear" w:color="auto" w:fill="auto"/>
            <w:noWrap/>
          </w:tcPr>
          <w:p w14:paraId="213C6196" w14:textId="2EF16CFD" w:rsidR="000D04CD" w:rsidRPr="00384016" w:rsidRDefault="000D04CD" w:rsidP="000D04CD">
            <w:pPr>
              <w:spacing w:line="276" w:lineRule="auto"/>
              <w:rPr>
                <w:rFonts w:cs="Calibri"/>
                <w:color w:val="000000"/>
                <w:szCs w:val="21"/>
                <w:lang w:eastAsia="nl-NL"/>
              </w:rPr>
            </w:pPr>
            <w:r w:rsidRPr="00384016">
              <w:t>Regionale inkoop Jeugd: IAJ</w:t>
            </w:r>
          </w:p>
        </w:tc>
        <w:tc>
          <w:tcPr>
            <w:tcW w:w="1040" w:type="dxa"/>
            <w:tcBorders>
              <w:top w:val="single" w:sz="8" w:space="0" w:color="auto"/>
              <w:left w:val="nil"/>
              <w:bottom w:val="single" w:sz="8" w:space="0" w:color="auto"/>
              <w:right w:val="single" w:sz="4" w:space="0" w:color="auto"/>
            </w:tcBorders>
          </w:tcPr>
          <w:p w14:paraId="24787FF3" w14:textId="4EC94615" w:rsidR="000D04CD" w:rsidRPr="00384016" w:rsidRDefault="000D04CD" w:rsidP="000D04CD">
            <w:pPr>
              <w:spacing w:line="276" w:lineRule="auto"/>
              <w:jc w:val="right"/>
              <w:rPr>
                <w:rFonts w:cs="Calibri"/>
                <w:color w:val="000000"/>
                <w:szCs w:val="21"/>
                <w:lang w:eastAsia="nl-NL"/>
              </w:rPr>
            </w:pPr>
            <w:r w:rsidRPr="00AF550A">
              <w:t>2.291</w:t>
            </w:r>
          </w:p>
        </w:tc>
        <w:tc>
          <w:tcPr>
            <w:tcW w:w="1036" w:type="dxa"/>
            <w:tcBorders>
              <w:top w:val="single" w:sz="8" w:space="0" w:color="auto"/>
              <w:left w:val="single" w:sz="4" w:space="0" w:color="auto"/>
              <w:bottom w:val="single" w:sz="8" w:space="0" w:color="auto"/>
              <w:right w:val="single" w:sz="8" w:space="0" w:color="auto"/>
            </w:tcBorders>
            <w:shd w:val="clear" w:color="auto" w:fill="auto"/>
            <w:noWrap/>
          </w:tcPr>
          <w:p w14:paraId="3DD1598E" w14:textId="7E8CC59E" w:rsidR="000D04CD" w:rsidRPr="00384016" w:rsidRDefault="000D04CD" w:rsidP="000D04CD">
            <w:pPr>
              <w:spacing w:line="276" w:lineRule="auto"/>
              <w:jc w:val="right"/>
              <w:rPr>
                <w:rFonts w:cs="Calibri"/>
                <w:color w:val="000000"/>
                <w:szCs w:val="21"/>
                <w:lang w:eastAsia="nl-NL"/>
              </w:rPr>
            </w:pPr>
            <w:r w:rsidRPr="00AF550A">
              <w:t>4.899</w:t>
            </w:r>
          </w:p>
        </w:tc>
        <w:tc>
          <w:tcPr>
            <w:tcW w:w="1185" w:type="dxa"/>
            <w:tcBorders>
              <w:top w:val="nil"/>
              <w:left w:val="nil"/>
              <w:bottom w:val="single" w:sz="8" w:space="0" w:color="auto"/>
              <w:right w:val="single" w:sz="8" w:space="0" w:color="auto"/>
            </w:tcBorders>
            <w:shd w:val="clear" w:color="auto" w:fill="auto"/>
            <w:noWrap/>
          </w:tcPr>
          <w:p w14:paraId="236572FB" w14:textId="2AF4B01C" w:rsidR="000D04CD" w:rsidRPr="00384016" w:rsidRDefault="000D04CD" w:rsidP="000D04CD">
            <w:pPr>
              <w:spacing w:line="276" w:lineRule="auto"/>
              <w:jc w:val="right"/>
              <w:rPr>
                <w:rFonts w:cs="Calibri"/>
                <w:color w:val="000000"/>
                <w:szCs w:val="21"/>
                <w:lang w:eastAsia="nl-NL"/>
              </w:rPr>
            </w:pPr>
            <w:r w:rsidRPr="00AF550A">
              <w:t>6.801</w:t>
            </w:r>
          </w:p>
        </w:tc>
        <w:tc>
          <w:tcPr>
            <w:tcW w:w="1556" w:type="dxa"/>
            <w:tcBorders>
              <w:top w:val="nil"/>
              <w:left w:val="nil"/>
              <w:bottom w:val="single" w:sz="8" w:space="0" w:color="auto"/>
              <w:right w:val="single" w:sz="8" w:space="0" w:color="auto"/>
            </w:tcBorders>
            <w:shd w:val="clear" w:color="auto" w:fill="auto"/>
            <w:noWrap/>
          </w:tcPr>
          <w:p w14:paraId="05F8CB39" w14:textId="256E6F49" w:rsidR="000D04CD" w:rsidRPr="00384016" w:rsidRDefault="000D04CD" w:rsidP="000D04CD">
            <w:pPr>
              <w:spacing w:line="276" w:lineRule="auto"/>
              <w:jc w:val="right"/>
              <w:rPr>
                <w:rFonts w:cs="Calibri"/>
                <w:color w:val="000000"/>
                <w:szCs w:val="21"/>
                <w:lang w:eastAsia="nl-NL"/>
              </w:rPr>
            </w:pPr>
            <w:r w:rsidRPr="00AF550A">
              <w:t>-4.510</w:t>
            </w:r>
          </w:p>
        </w:tc>
      </w:tr>
      <w:tr w:rsidR="000D04CD" w:rsidRPr="00233AF5" w14:paraId="04DE13B5" w14:textId="77777777" w:rsidTr="0061127A">
        <w:trPr>
          <w:trHeight w:val="375"/>
        </w:trPr>
        <w:tc>
          <w:tcPr>
            <w:tcW w:w="4526" w:type="dxa"/>
            <w:tcBorders>
              <w:top w:val="nil"/>
              <w:left w:val="single" w:sz="8" w:space="0" w:color="auto"/>
              <w:bottom w:val="single" w:sz="8" w:space="0" w:color="auto"/>
              <w:right w:val="single" w:sz="8" w:space="0" w:color="auto"/>
            </w:tcBorders>
            <w:shd w:val="clear" w:color="000000" w:fill="C6D9F1"/>
            <w:noWrap/>
            <w:vAlign w:val="center"/>
            <w:hideMark/>
          </w:tcPr>
          <w:p w14:paraId="778AF965" w14:textId="77777777" w:rsidR="000D04CD" w:rsidRPr="00384016" w:rsidRDefault="000D04CD" w:rsidP="000D04CD">
            <w:pPr>
              <w:spacing w:line="276" w:lineRule="auto"/>
              <w:rPr>
                <w:rFonts w:cs="Calibri"/>
                <w:b/>
                <w:bCs/>
                <w:color w:val="000000"/>
                <w:szCs w:val="21"/>
                <w:lang w:eastAsia="nl-NL"/>
              </w:rPr>
            </w:pPr>
            <w:r w:rsidRPr="00384016">
              <w:rPr>
                <w:rFonts w:cs="Calibri"/>
                <w:b/>
                <w:bCs/>
                <w:color w:val="000000"/>
                <w:szCs w:val="21"/>
                <w:lang w:eastAsia="nl-NL"/>
              </w:rPr>
              <w:t>Totaal</w:t>
            </w:r>
          </w:p>
        </w:tc>
        <w:tc>
          <w:tcPr>
            <w:tcW w:w="1040" w:type="dxa"/>
            <w:tcBorders>
              <w:top w:val="single" w:sz="8" w:space="0" w:color="auto"/>
              <w:left w:val="nil"/>
              <w:bottom w:val="single" w:sz="8" w:space="0" w:color="auto"/>
              <w:right w:val="single" w:sz="4" w:space="0" w:color="auto"/>
            </w:tcBorders>
            <w:shd w:val="clear" w:color="000000" w:fill="C6D9F1"/>
          </w:tcPr>
          <w:p w14:paraId="298E992B" w14:textId="33978FCF" w:rsidR="000D04CD" w:rsidRPr="00384016" w:rsidRDefault="000D04CD" w:rsidP="000D04CD">
            <w:pPr>
              <w:spacing w:line="276" w:lineRule="auto"/>
              <w:jc w:val="right"/>
              <w:rPr>
                <w:rFonts w:cs="Calibri"/>
                <w:b/>
                <w:bCs/>
                <w:color w:val="000000"/>
                <w:szCs w:val="21"/>
                <w:lang w:eastAsia="nl-NL"/>
              </w:rPr>
            </w:pPr>
            <w:r w:rsidRPr="00AF550A">
              <w:t>10.403</w:t>
            </w:r>
          </w:p>
        </w:tc>
        <w:tc>
          <w:tcPr>
            <w:tcW w:w="1036" w:type="dxa"/>
            <w:tcBorders>
              <w:top w:val="single" w:sz="8" w:space="0" w:color="auto"/>
              <w:left w:val="single" w:sz="4" w:space="0" w:color="auto"/>
              <w:bottom w:val="single" w:sz="8" w:space="0" w:color="auto"/>
              <w:right w:val="single" w:sz="8" w:space="0" w:color="auto"/>
            </w:tcBorders>
            <w:shd w:val="clear" w:color="000000" w:fill="C6D9F1"/>
            <w:noWrap/>
            <w:hideMark/>
          </w:tcPr>
          <w:p w14:paraId="5E96DBAA" w14:textId="109FC9DD" w:rsidR="000D04CD" w:rsidRPr="00384016" w:rsidRDefault="000D04CD" w:rsidP="000D04CD">
            <w:pPr>
              <w:spacing w:line="276" w:lineRule="auto"/>
              <w:jc w:val="right"/>
              <w:rPr>
                <w:rFonts w:cs="Calibri"/>
                <w:b/>
                <w:bCs/>
                <w:color w:val="000000"/>
                <w:szCs w:val="21"/>
                <w:lang w:eastAsia="nl-NL"/>
              </w:rPr>
            </w:pPr>
            <w:r w:rsidRPr="00AF550A">
              <w:t>10.175</w:t>
            </w:r>
          </w:p>
        </w:tc>
        <w:tc>
          <w:tcPr>
            <w:tcW w:w="1185" w:type="dxa"/>
            <w:tcBorders>
              <w:top w:val="nil"/>
              <w:left w:val="nil"/>
              <w:bottom w:val="single" w:sz="8" w:space="0" w:color="auto"/>
              <w:right w:val="single" w:sz="8" w:space="0" w:color="auto"/>
            </w:tcBorders>
            <w:shd w:val="clear" w:color="000000" w:fill="C6D9F1"/>
            <w:noWrap/>
            <w:hideMark/>
          </w:tcPr>
          <w:p w14:paraId="5C75E8D1" w14:textId="477A5CCD" w:rsidR="000D04CD" w:rsidRPr="00384016" w:rsidRDefault="000D04CD" w:rsidP="000D04CD">
            <w:pPr>
              <w:spacing w:line="276" w:lineRule="auto"/>
              <w:jc w:val="right"/>
              <w:rPr>
                <w:rFonts w:cs="Calibri"/>
                <w:b/>
                <w:bCs/>
                <w:color w:val="000000"/>
                <w:szCs w:val="21"/>
                <w:lang w:eastAsia="nl-NL"/>
              </w:rPr>
            </w:pPr>
            <w:r w:rsidRPr="00AF550A">
              <w:t>11.782</w:t>
            </w:r>
          </w:p>
        </w:tc>
        <w:tc>
          <w:tcPr>
            <w:tcW w:w="1556" w:type="dxa"/>
            <w:tcBorders>
              <w:top w:val="nil"/>
              <w:left w:val="nil"/>
              <w:bottom w:val="single" w:sz="8" w:space="0" w:color="auto"/>
              <w:right w:val="single" w:sz="8" w:space="0" w:color="auto"/>
            </w:tcBorders>
            <w:shd w:val="clear" w:color="000000" w:fill="C6D9F1"/>
            <w:noWrap/>
            <w:hideMark/>
          </w:tcPr>
          <w:p w14:paraId="32716E85" w14:textId="08BFA9F3" w:rsidR="000D04CD" w:rsidRPr="00384016" w:rsidRDefault="000D04CD" w:rsidP="000D04CD">
            <w:pPr>
              <w:spacing w:line="276" w:lineRule="auto"/>
              <w:jc w:val="right"/>
              <w:rPr>
                <w:rFonts w:cs="Calibri"/>
                <w:b/>
                <w:bCs/>
                <w:color w:val="000000"/>
                <w:szCs w:val="21"/>
                <w:lang w:eastAsia="nl-NL"/>
              </w:rPr>
            </w:pPr>
            <w:r w:rsidRPr="00AF550A">
              <w:t>-1.379</w:t>
            </w:r>
          </w:p>
        </w:tc>
      </w:tr>
      <w:bookmarkEnd w:id="7"/>
    </w:tbl>
    <w:p w14:paraId="3F5B316B" w14:textId="77777777" w:rsidR="003E25EC" w:rsidRPr="00233AF5" w:rsidRDefault="003E25EC" w:rsidP="003E25EC">
      <w:pPr>
        <w:spacing w:line="276" w:lineRule="auto"/>
        <w:rPr>
          <w:highlight w:val="cyan"/>
        </w:rPr>
      </w:pPr>
    </w:p>
    <w:p w14:paraId="545C9FEE" w14:textId="23973AA5" w:rsidR="00981ABA" w:rsidRDefault="0041332C" w:rsidP="0041332C">
      <w:pPr>
        <w:spacing w:line="276" w:lineRule="auto"/>
      </w:pPr>
      <w:r>
        <w:t xml:space="preserve">Er is </w:t>
      </w:r>
      <w:r w:rsidR="004A6CFA">
        <w:t xml:space="preserve">ook </w:t>
      </w:r>
      <w:r>
        <w:t xml:space="preserve">sprake van een lastenstijging die met name voortkomt uit de herijking van de plekprijzen met ingang van 1 juli 2023. </w:t>
      </w:r>
      <w:r w:rsidR="00004AE9">
        <w:t xml:space="preserve">Voor Gezins- en Woonvormen (GWV) </w:t>
      </w:r>
      <w:r w:rsidR="00981ABA">
        <w:t>en</w:t>
      </w:r>
      <w:r w:rsidR="00004AE9">
        <w:t xml:space="preserve"> Individuele Ambulante Jeugdzorg (IAJ) zijn gezamenlijk lasten in 2023 gemaakt voor een bedrag van € </w:t>
      </w:r>
      <w:r w:rsidR="73C6D1A8">
        <w:t>9.597.000.</w:t>
      </w:r>
      <w:r w:rsidR="00004AE9">
        <w:t xml:space="preserve"> Hiervan heeft een bedrag van </w:t>
      </w:r>
    </w:p>
    <w:p w14:paraId="4DCD5ED2" w14:textId="38B60820" w:rsidR="0041332C" w:rsidRDefault="00004AE9" w:rsidP="0041332C">
      <w:pPr>
        <w:spacing w:line="276" w:lineRule="auto"/>
      </w:pPr>
      <w:r>
        <w:t>€ 4.210.000 betrekking op de eerste helft van 2023 en is € € 5.387.000 van toepassing op de tweede hel</w:t>
      </w:r>
      <w:r w:rsidR="00981ABA">
        <w:t>f</w:t>
      </w:r>
      <w:r>
        <w:t xml:space="preserve">t van 2023. Geconstateerd wordt dat de herijking van de plekprijzen een lastenstijging met zich mee heeft gebracht van € </w:t>
      </w:r>
      <w:r w:rsidR="38F87F50">
        <w:t>1.177.000, -</w:t>
      </w:r>
      <w:r>
        <w:t>, waarmee naast de hogere lasten voor Hoog Complexe Jeugdzorg met verblijf de lastenontwikkeling ten opzichte van 2022 wordt verklaard.</w:t>
      </w:r>
    </w:p>
    <w:p w14:paraId="332D9F91" w14:textId="4F5665A8" w:rsidR="00C678E7" w:rsidRDefault="00C678E7">
      <w:r>
        <w:br w:type="page"/>
      </w:r>
    </w:p>
    <w:p w14:paraId="127F1DF0" w14:textId="7B4B5EB6" w:rsidR="004A6CFA" w:rsidRDefault="004A6CFA" w:rsidP="0041332C">
      <w:pPr>
        <w:spacing w:line="276" w:lineRule="auto"/>
      </w:pPr>
      <w:r>
        <w:lastRenderedPageBreak/>
        <w:t xml:space="preserve">In onderstaande tabel </w:t>
      </w:r>
      <w:r w:rsidR="002442DE">
        <w:t>is</w:t>
      </w:r>
      <w:r>
        <w:t xml:space="preserve"> de lastenontwikkeling van Hoog Complexe Jeugdzorg in 2023 ten opzichte van 2022 weergegeven.</w:t>
      </w:r>
      <w:r w:rsidR="00D43FBC">
        <w:t xml:space="preserve"> Hoog Complexe Jeugdzorg is met ingang van 2023 van toepassing. De vergelijking met 2022 is gemaakt aan de hand van de onderliggende zorgonderdelen op het gebied van zorg met verblijf en GGZ .</w:t>
      </w:r>
      <w:r>
        <w:t xml:space="preserve"> Behalve een stijging van het aantal jeugdigen dat een beroep doet op deze</w:t>
      </w:r>
      <w:r w:rsidR="00D43FBC">
        <w:t xml:space="preserve"> vormen van </w:t>
      </w:r>
      <w:r>
        <w:t xml:space="preserve">zorg is met name zichtbaar dat de gemiddelde kosten per maand voor Jeugdzorg met verblijf zijn gestegen. </w:t>
      </w:r>
    </w:p>
    <w:p w14:paraId="0B7CEEF2" w14:textId="77777777" w:rsidR="002442DE" w:rsidRDefault="002442DE" w:rsidP="0041332C">
      <w:pPr>
        <w:spacing w:line="276" w:lineRule="auto"/>
      </w:pPr>
    </w:p>
    <w:p w14:paraId="3F0808C1" w14:textId="5086C5F1" w:rsidR="00C678E7" w:rsidRPr="00C678E7" w:rsidRDefault="00C678E7" w:rsidP="0041332C">
      <w:pPr>
        <w:spacing w:line="276" w:lineRule="auto"/>
        <w:rPr>
          <w:i/>
          <w:iCs/>
        </w:rPr>
      </w:pPr>
      <w:r w:rsidRPr="00C678E7">
        <w:rPr>
          <w:i/>
          <w:iCs/>
        </w:rPr>
        <w:t>Kengetallen Hoog Complexe Zorg met Verblijf 2023 ten opzichte van 2022</w:t>
      </w:r>
    </w:p>
    <w:tbl>
      <w:tblPr>
        <w:tblW w:w="7267" w:type="dxa"/>
        <w:tblCellMar>
          <w:left w:w="70" w:type="dxa"/>
          <w:right w:w="70" w:type="dxa"/>
        </w:tblCellMar>
        <w:tblLook w:val="04A0" w:firstRow="1" w:lastRow="0" w:firstColumn="1" w:lastColumn="0" w:noHBand="0" w:noVBand="1"/>
      </w:tblPr>
      <w:tblGrid>
        <w:gridCol w:w="4526"/>
        <w:gridCol w:w="1185"/>
        <w:gridCol w:w="1556"/>
      </w:tblGrid>
      <w:tr w:rsidR="004A6CFA" w:rsidRPr="00384016" w14:paraId="45EE60A9" w14:textId="77777777" w:rsidTr="004A6CFA">
        <w:trPr>
          <w:trHeight w:val="735"/>
        </w:trPr>
        <w:tc>
          <w:tcPr>
            <w:tcW w:w="4526"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2EAD82AB" w14:textId="4C255353" w:rsidR="004A6CFA" w:rsidRPr="00384016" w:rsidRDefault="002442DE" w:rsidP="008E5652">
            <w:pPr>
              <w:spacing w:line="276" w:lineRule="auto"/>
              <w:rPr>
                <w:rFonts w:cs="Calibri"/>
                <w:b/>
                <w:bCs/>
                <w:color w:val="000000"/>
                <w:szCs w:val="21"/>
                <w:lang w:eastAsia="nl-NL"/>
              </w:rPr>
            </w:pPr>
            <w:r>
              <w:rPr>
                <w:rFonts w:cs="Calibri"/>
                <w:b/>
                <w:bCs/>
                <w:color w:val="000000"/>
                <w:szCs w:val="21"/>
                <w:lang w:eastAsia="nl-NL"/>
              </w:rPr>
              <w:t>Boekjaar</w:t>
            </w:r>
          </w:p>
        </w:tc>
        <w:tc>
          <w:tcPr>
            <w:tcW w:w="1185" w:type="dxa"/>
            <w:tcBorders>
              <w:top w:val="single" w:sz="8" w:space="0" w:color="auto"/>
              <w:left w:val="nil"/>
              <w:bottom w:val="single" w:sz="8" w:space="0" w:color="auto"/>
              <w:right w:val="single" w:sz="8" w:space="0" w:color="auto"/>
            </w:tcBorders>
            <w:shd w:val="clear" w:color="000000" w:fill="D9D9D9"/>
            <w:vAlign w:val="center"/>
            <w:hideMark/>
          </w:tcPr>
          <w:p w14:paraId="146A12FD" w14:textId="6D8F81AB" w:rsidR="004A6CFA" w:rsidRPr="00384016" w:rsidRDefault="004A6CFA" w:rsidP="008E5652">
            <w:pPr>
              <w:spacing w:line="276" w:lineRule="auto"/>
              <w:jc w:val="center"/>
              <w:rPr>
                <w:rFonts w:cs="Calibri"/>
                <w:b/>
                <w:bCs/>
                <w:color w:val="000000"/>
                <w:szCs w:val="21"/>
                <w:lang w:eastAsia="nl-NL"/>
              </w:rPr>
            </w:pPr>
            <w:r>
              <w:rPr>
                <w:rFonts w:cs="Calibri"/>
                <w:b/>
                <w:bCs/>
                <w:color w:val="000000"/>
                <w:szCs w:val="21"/>
                <w:lang w:eastAsia="nl-NL"/>
              </w:rPr>
              <w:t>2022</w:t>
            </w:r>
          </w:p>
        </w:tc>
        <w:tc>
          <w:tcPr>
            <w:tcW w:w="1556" w:type="dxa"/>
            <w:tcBorders>
              <w:top w:val="single" w:sz="8" w:space="0" w:color="auto"/>
              <w:left w:val="nil"/>
              <w:bottom w:val="single" w:sz="8" w:space="0" w:color="auto"/>
              <w:right w:val="single" w:sz="8" w:space="0" w:color="auto"/>
            </w:tcBorders>
            <w:shd w:val="clear" w:color="000000" w:fill="D9D9D9"/>
            <w:vAlign w:val="center"/>
            <w:hideMark/>
          </w:tcPr>
          <w:p w14:paraId="446731CD" w14:textId="336B03D9" w:rsidR="004A6CFA" w:rsidRPr="00384016" w:rsidRDefault="004A6CFA" w:rsidP="008E5652">
            <w:pPr>
              <w:spacing w:line="276" w:lineRule="auto"/>
              <w:jc w:val="center"/>
              <w:rPr>
                <w:rFonts w:cs="Calibri"/>
                <w:b/>
                <w:bCs/>
                <w:color w:val="000000"/>
                <w:szCs w:val="21"/>
                <w:lang w:eastAsia="nl-NL"/>
              </w:rPr>
            </w:pPr>
            <w:r>
              <w:rPr>
                <w:rFonts w:cs="Calibri"/>
                <w:b/>
                <w:bCs/>
                <w:color w:val="000000"/>
                <w:szCs w:val="21"/>
                <w:lang w:eastAsia="nl-NL"/>
              </w:rPr>
              <w:t>2023</w:t>
            </w:r>
          </w:p>
        </w:tc>
      </w:tr>
      <w:tr w:rsidR="004A6CFA" w:rsidRPr="00384016" w14:paraId="1993B9B6" w14:textId="77777777" w:rsidTr="004A6CFA">
        <w:trPr>
          <w:trHeight w:val="375"/>
        </w:trPr>
        <w:tc>
          <w:tcPr>
            <w:tcW w:w="4526" w:type="dxa"/>
            <w:tcBorders>
              <w:top w:val="nil"/>
              <w:left w:val="single" w:sz="8" w:space="0" w:color="auto"/>
              <w:bottom w:val="single" w:sz="8" w:space="0" w:color="auto"/>
              <w:right w:val="single" w:sz="8" w:space="0" w:color="auto"/>
            </w:tcBorders>
            <w:shd w:val="clear" w:color="auto" w:fill="auto"/>
            <w:noWrap/>
            <w:hideMark/>
          </w:tcPr>
          <w:p w14:paraId="64FF0F68" w14:textId="09837BAB" w:rsidR="004A6CFA" w:rsidRPr="00384016" w:rsidRDefault="002442DE" w:rsidP="008E5652">
            <w:pPr>
              <w:spacing w:line="276" w:lineRule="auto"/>
              <w:rPr>
                <w:rFonts w:cs="Calibri"/>
                <w:color w:val="000000"/>
                <w:szCs w:val="21"/>
                <w:lang w:eastAsia="nl-NL"/>
              </w:rPr>
            </w:pPr>
            <w:r>
              <w:rPr>
                <w:rFonts w:cs="Calibri"/>
              </w:rPr>
              <w:t>Totale lasten</w:t>
            </w:r>
          </w:p>
        </w:tc>
        <w:tc>
          <w:tcPr>
            <w:tcW w:w="1185" w:type="dxa"/>
            <w:tcBorders>
              <w:top w:val="nil"/>
              <w:left w:val="nil"/>
              <w:bottom w:val="single" w:sz="8" w:space="0" w:color="auto"/>
              <w:right w:val="single" w:sz="8" w:space="0" w:color="auto"/>
            </w:tcBorders>
            <w:shd w:val="clear" w:color="auto" w:fill="auto"/>
            <w:noWrap/>
            <w:hideMark/>
          </w:tcPr>
          <w:p w14:paraId="299873A7" w14:textId="666AF947" w:rsidR="004A6CFA" w:rsidRPr="00384016" w:rsidRDefault="002442DE" w:rsidP="008E5652">
            <w:pPr>
              <w:spacing w:line="276" w:lineRule="auto"/>
              <w:jc w:val="right"/>
              <w:rPr>
                <w:rFonts w:cs="Calibri"/>
                <w:color w:val="000000"/>
                <w:szCs w:val="21"/>
                <w:lang w:eastAsia="nl-NL"/>
              </w:rPr>
            </w:pPr>
            <w:r>
              <w:rPr>
                <w:rFonts w:cs="Calibri"/>
                <w:color w:val="000000"/>
                <w:szCs w:val="21"/>
                <w:lang w:eastAsia="nl-NL"/>
              </w:rPr>
              <w:t>682.342</w:t>
            </w:r>
          </w:p>
        </w:tc>
        <w:tc>
          <w:tcPr>
            <w:tcW w:w="1556" w:type="dxa"/>
            <w:tcBorders>
              <w:top w:val="nil"/>
              <w:left w:val="nil"/>
              <w:bottom w:val="single" w:sz="8" w:space="0" w:color="auto"/>
              <w:right w:val="single" w:sz="8" w:space="0" w:color="auto"/>
            </w:tcBorders>
            <w:shd w:val="clear" w:color="auto" w:fill="auto"/>
            <w:noWrap/>
            <w:hideMark/>
          </w:tcPr>
          <w:p w14:paraId="5899A675" w14:textId="5BB597EF" w:rsidR="004A6CFA" w:rsidRPr="00384016" w:rsidRDefault="002442DE" w:rsidP="008E5652">
            <w:pPr>
              <w:spacing w:line="276" w:lineRule="auto"/>
              <w:jc w:val="right"/>
              <w:rPr>
                <w:rFonts w:cs="Calibri"/>
                <w:color w:val="000000"/>
                <w:szCs w:val="21"/>
                <w:lang w:eastAsia="nl-NL"/>
              </w:rPr>
            </w:pPr>
            <w:r>
              <w:t>1.105.169</w:t>
            </w:r>
          </w:p>
        </w:tc>
      </w:tr>
      <w:tr w:rsidR="004A6CFA" w:rsidRPr="00384016" w14:paraId="01609427" w14:textId="77777777" w:rsidTr="004A6CFA">
        <w:trPr>
          <w:trHeight w:val="375"/>
        </w:trPr>
        <w:tc>
          <w:tcPr>
            <w:tcW w:w="4526" w:type="dxa"/>
            <w:tcBorders>
              <w:top w:val="nil"/>
              <w:left w:val="single" w:sz="8" w:space="0" w:color="auto"/>
              <w:bottom w:val="single" w:sz="8" w:space="0" w:color="auto"/>
              <w:right w:val="single" w:sz="8" w:space="0" w:color="auto"/>
            </w:tcBorders>
            <w:shd w:val="clear" w:color="auto" w:fill="auto"/>
            <w:noWrap/>
            <w:hideMark/>
          </w:tcPr>
          <w:p w14:paraId="53484179" w14:textId="5F1DF537" w:rsidR="004A6CFA" w:rsidRPr="00384016" w:rsidRDefault="002442DE" w:rsidP="008E5652">
            <w:pPr>
              <w:spacing w:line="276" w:lineRule="auto"/>
            </w:pPr>
            <w:r>
              <w:t>Aantal cliënten</w:t>
            </w:r>
          </w:p>
        </w:tc>
        <w:tc>
          <w:tcPr>
            <w:tcW w:w="1185" w:type="dxa"/>
            <w:tcBorders>
              <w:top w:val="nil"/>
              <w:left w:val="nil"/>
              <w:bottom w:val="single" w:sz="8" w:space="0" w:color="auto"/>
              <w:right w:val="single" w:sz="8" w:space="0" w:color="auto"/>
            </w:tcBorders>
            <w:shd w:val="clear" w:color="auto" w:fill="auto"/>
            <w:noWrap/>
            <w:hideMark/>
          </w:tcPr>
          <w:p w14:paraId="2163D7AB" w14:textId="15F53226" w:rsidR="004A6CFA" w:rsidRPr="00384016" w:rsidRDefault="002442DE" w:rsidP="008E5652">
            <w:pPr>
              <w:spacing w:line="276" w:lineRule="auto"/>
              <w:jc w:val="right"/>
              <w:rPr>
                <w:rFonts w:cs="Calibri"/>
                <w:color w:val="000000"/>
                <w:szCs w:val="21"/>
                <w:lang w:eastAsia="nl-NL"/>
              </w:rPr>
            </w:pPr>
            <w:r>
              <w:t>23</w:t>
            </w:r>
          </w:p>
        </w:tc>
        <w:tc>
          <w:tcPr>
            <w:tcW w:w="1556" w:type="dxa"/>
            <w:tcBorders>
              <w:top w:val="nil"/>
              <w:left w:val="nil"/>
              <w:bottom w:val="single" w:sz="8" w:space="0" w:color="auto"/>
              <w:right w:val="single" w:sz="8" w:space="0" w:color="auto"/>
            </w:tcBorders>
            <w:shd w:val="clear" w:color="auto" w:fill="auto"/>
            <w:noWrap/>
            <w:hideMark/>
          </w:tcPr>
          <w:p w14:paraId="0E5581C8" w14:textId="5919C6BD" w:rsidR="004A6CFA" w:rsidRPr="00384016" w:rsidRDefault="002442DE" w:rsidP="008E5652">
            <w:pPr>
              <w:spacing w:line="276" w:lineRule="auto"/>
              <w:jc w:val="right"/>
              <w:rPr>
                <w:rFonts w:cs="Calibri"/>
                <w:color w:val="000000"/>
                <w:szCs w:val="21"/>
                <w:lang w:eastAsia="nl-NL"/>
              </w:rPr>
            </w:pPr>
            <w:r>
              <w:t>29</w:t>
            </w:r>
          </w:p>
        </w:tc>
      </w:tr>
      <w:tr w:rsidR="004A6CFA" w:rsidRPr="00384016" w14:paraId="2B6F0C64" w14:textId="77777777" w:rsidTr="004A6CFA">
        <w:trPr>
          <w:trHeight w:val="375"/>
        </w:trPr>
        <w:tc>
          <w:tcPr>
            <w:tcW w:w="4526" w:type="dxa"/>
            <w:tcBorders>
              <w:top w:val="nil"/>
              <w:left w:val="single" w:sz="8" w:space="0" w:color="auto"/>
              <w:bottom w:val="single" w:sz="8" w:space="0" w:color="auto"/>
              <w:right w:val="single" w:sz="8" w:space="0" w:color="auto"/>
            </w:tcBorders>
            <w:shd w:val="clear" w:color="auto" w:fill="auto"/>
            <w:noWrap/>
          </w:tcPr>
          <w:p w14:paraId="71203C03" w14:textId="5BE1B2E5" w:rsidR="004A6CFA" w:rsidRPr="00384016" w:rsidRDefault="002442DE" w:rsidP="008E5652">
            <w:pPr>
              <w:spacing w:line="276" w:lineRule="auto"/>
              <w:rPr>
                <w:rFonts w:cs="Calibri"/>
                <w:color w:val="000000"/>
                <w:szCs w:val="21"/>
                <w:lang w:eastAsia="nl-NL"/>
              </w:rPr>
            </w:pPr>
            <w:r>
              <w:rPr>
                <w:rFonts w:cs="Calibri"/>
              </w:rPr>
              <w:t>Gemiddelde maandlasten verblijf</w:t>
            </w:r>
          </w:p>
        </w:tc>
        <w:tc>
          <w:tcPr>
            <w:tcW w:w="1185" w:type="dxa"/>
            <w:tcBorders>
              <w:top w:val="nil"/>
              <w:left w:val="nil"/>
              <w:bottom w:val="single" w:sz="8" w:space="0" w:color="auto"/>
              <w:right w:val="single" w:sz="8" w:space="0" w:color="auto"/>
            </w:tcBorders>
            <w:shd w:val="clear" w:color="auto" w:fill="auto"/>
            <w:noWrap/>
          </w:tcPr>
          <w:p w14:paraId="4CA748DB" w14:textId="48C66279" w:rsidR="004A6CFA" w:rsidRPr="00384016" w:rsidRDefault="002442DE" w:rsidP="008E5652">
            <w:pPr>
              <w:spacing w:line="276" w:lineRule="auto"/>
              <w:jc w:val="right"/>
              <w:rPr>
                <w:rFonts w:cs="Calibri"/>
                <w:color w:val="000000"/>
                <w:szCs w:val="21"/>
                <w:lang w:eastAsia="nl-NL"/>
              </w:rPr>
            </w:pPr>
            <w:r>
              <w:t>8.403</w:t>
            </w:r>
          </w:p>
        </w:tc>
        <w:tc>
          <w:tcPr>
            <w:tcW w:w="1556" w:type="dxa"/>
            <w:tcBorders>
              <w:top w:val="nil"/>
              <w:left w:val="nil"/>
              <w:bottom w:val="single" w:sz="8" w:space="0" w:color="auto"/>
              <w:right w:val="single" w:sz="8" w:space="0" w:color="auto"/>
            </w:tcBorders>
            <w:shd w:val="clear" w:color="auto" w:fill="auto"/>
            <w:noWrap/>
          </w:tcPr>
          <w:p w14:paraId="48A2DFC3" w14:textId="7F5B0CC8" w:rsidR="004A6CFA" w:rsidRPr="00384016" w:rsidRDefault="002442DE" w:rsidP="008E5652">
            <w:pPr>
              <w:spacing w:line="276" w:lineRule="auto"/>
              <w:jc w:val="right"/>
              <w:rPr>
                <w:rFonts w:cs="Calibri"/>
                <w:color w:val="000000"/>
                <w:szCs w:val="21"/>
                <w:lang w:eastAsia="nl-NL"/>
              </w:rPr>
            </w:pPr>
            <w:r>
              <w:t>11.137</w:t>
            </w:r>
          </w:p>
        </w:tc>
      </w:tr>
      <w:tr w:rsidR="004A6CFA" w:rsidRPr="00384016" w14:paraId="78A2733B" w14:textId="77777777" w:rsidTr="004A6CFA">
        <w:trPr>
          <w:trHeight w:val="375"/>
        </w:trPr>
        <w:tc>
          <w:tcPr>
            <w:tcW w:w="4526" w:type="dxa"/>
            <w:tcBorders>
              <w:top w:val="nil"/>
              <w:left w:val="single" w:sz="8" w:space="0" w:color="auto"/>
              <w:bottom w:val="single" w:sz="8" w:space="0" w:color="auto"/>
              <w:right w:val="single" w:sz="8" w:space="0" w:color="auto"/>
            </w:tcBorders>
            <w:shd w:val="clear" w:color="auto" w:fill="auto"/>
            <w:noWrap/>
          </w:tcPr>
          <w:p w14:paraId="5E3B15EB" w14:textId="0F087246" w:rsidR="004A6CFA" w:rsidRPr="00384016" w:rsidRDefault="002442DE" w:rsidP="008E5652">
            <w:pPr>
              <w:spacing w:line="276" w:lineRule="auto"/>
            </w:pPr>
            <w:r>
              <w:t>Gemiddelde maandlasten GGZ</w:t>
            </w:r>
          </w:p>
        </w:tc>
        <w:tc>
          <w:tcPr>
            <w:tcW w:w="1185" w:type="dxa"/>
            <w:tcBorders>
              <w:top w:val="nil"/>
              <w:left w:val="nil"/>
              <w:bottom w:val="single" w:sz="8" w:space="0" w:color="auto"/>
              <w:right w:val="single" w:sz="8" w:space="0" w:color="auto"/>
            </w:tcBorders>
            <w:shd w:val="clear" w:color="auto" w:fill="auto"/>
            <w:noWrap/>
          </w:tcPr>
          <w:p w14:paraId="6E95B1FF" w14:textId="41E0948E" w:rsidR="004A6CFA" w:rsidRPr="00384016" w:rsidRDefault="002442DE" w:rsidP="008E5652">
            <w:pPr>
              <w:spacing w:line="276" w:lineRule="auto"/>
              <w:jc w:val="right"/>
            </w:pPr>
            <w:r>
              <w:t>2.666</w:t>
            </w:r>
          </w:p>
        </w:tc>
        <w:tc>
          <w:tcPr>
            <w:tcW w:w="1556" w:type="dxa"/>
            <w:tcBorders>
              <w:top w:val="nil"/>
              <w:left w:val="nil"/>
              <w:bottom w:val="single" w:sz="8" w:space="0" w:color="auto"/>
              <w:right w:val="single" w:sz="8" w:space="0" w:color="auto"/>
            </w:tcBorders>
            <w:shd w:val="clear" w:color="auto" w:fill="auto"/>
            <w:noWrap/>
          </w:tcPr>
          <w:p w14:paraId="7FDA66B0" w14:textId="63026390" w:rsidR="004A6CFA" w:rsidRPr="00384016" w:rsidRDefault="002442DE" w:rsidP="008E5652">
            <w:pPr>
              <w:spacing w:line="276" w:lineRule="auto"/>
              <w:jc w:val="right"/>
            </w:pPr>
            <w:r>
              <w:t>2.692</w:t>
            </w:r>
          </w:p>
        </w:tc>
      </w:tr>
      <w:tr w:rsidR="004A6CFA" w:rsidRPr="00384016" w14:paraId="566B2E8A" w14:textId="77777777" w:rsidTr="004A6CFA">
        <w:trPr>
          <w:trHeight w:val="375"/>
        </w:trPr>
        <w:tc>
          <w:tcPr>
            <w:tcW w:w="4526" w:type="dxa"/>
            <w:tcBorders>
              <w:top w:val="nil"/>
              <w:left w:val="single" w:sz="8" w:space="0" w:color="auto"/>
              <w:bottom w:val="single" w:sz="8" w:space="0" w:color="auto"/>
              <w:right w:val="single" w:sz="8" w:space="0" w:color="auto"/>
            </w:tcBorders>
            <w:shd w:val="clear" w:color="auto" w:fill="auto"/>
            <w:noWrap/>
          </w:tcPr>
          <w:p w14:paraId="0B2BA409" w14:textId="4B2A93C1" w:rsidR="004A6CFA" w:rsidRPr="00384016" w:rsidRDefault="002442DE" w:rsidP="008E5652">
            <w:pPr>
              <w:spacing w:line="276" w:lineRule="auto"/>
              <w:rPr>
                <w:rFonts w:cs="Calibri"/>
                <w:color w:val="000000"/>
                <w:szCs w:val="21"/>
                <w:lang w:eastAsia="nl-NL"/>
              </w:rPr>
            </w:pPr>
            <w:r>
              <w:rPr>
                <w:rFonts w:cs="Calibri"/>
              </w:rPr>
              <w:t>Hoogste individuele maandlasten</w:t>
            </w:r>
          </w:p>
        </w:tc>
        <w:tc>
          <w:tcPr>
            <w:tcW w:w="1185" w:type="dxa"/>
            <w:tcBorders>
              <w:top w:val="nil"/>
              <w:left w:val="nil"/>
              <w:bottom w:val="single" w:sz="8" w:space="0" w:color="auto"/>
              <w:right w:val="single" w:sz="8" w:space="0" w:color="auto"/>
            </w:tcBorders>
            <w:shd w:val="clear" w:color="auto" w:fill="auto"/>
            <w:noWrap/>
          </w:tcPr>
          <w:p w14:paraId="620CA546" w14:textId="65A375FF" w:rsidR="004A6CFA" w:rsidRPr="00384016" w:rsidRDefault="002442DE" w:rsidP="008E5652">
            <w:pPr>
              <w:spacing w:line="276" w:lineRule="auto"/>
              <w:jc w:val="right"/>
              <w:rPr>
                <w:rFonts w:cs="Calibri"/>
                <w:color w:val="000000"/>
                <w:szCs w:val="21"/>
                <w:lang w:eastAsia="nl-NL"/>
              </w:rPr>
            </w:pPr>
            <w:r>
              <w:t>11.827</w:t>
            </w:r>
          </w:p>
        </w:tc>
        <w:tc>
          <w:tcPr>
            <w:tcW w:w="1556" w:type="dxa"/>
            <w:tcBorders>
              <w:top w:val="nil"/>
              <w:left w:val="nil"/>
              <w:bottom w:val="single" w:sz="8" w:space="0" w:color="auto"/>
              <w:right w:val="single" w:sz="8" w:space="0" w:color="auto"/>
            </w:tcBorders>
            <w:shd w:val="clear" w:color="auto" w:fill="auto"/>
            <w:noWrap/>
          </w:tcPr>
          <w:p w14:paraId="1A2D498C" w14:textId="482541A4" w:rsidR="004A6CFA" w:rsidRPr="00384016" w:rsidRDefault="002442DE" w:rsidP="008E5652">
            <w:pPr>
              <w:spacing w:line="276" w:lineRule="auto"/>
              <w:jc w:val="right"/>
              <w:rPr>
                <w:rFonts w:cs="Calibri"/>
                <w:color w:val="000000"/>
                <w:szCs w:val="21"/>
                <w:lang w:eastAsia="nl-NL"/>
              </w:rPr>
            </w:pPr>
            <w:r>
              <w:t>19.830</w:t>
            </w:r>
          </w:p>
        </w:tc>
      </w:tr>
    </w:tbl>
    <w:p w14:paraId="5F2A0BB8" w14:textId="77777777" w:rsidR="004A6CFA" w:rsidRDefault="004A6CFA" w:rsidP="0041332C">
      <w:pPr>
        <w:spacing w:line="276" w:lineRule="auto"/>
      </w:pPr>
    </w:p>
    <w:p w14:paraId="73B75F70" w14:textId="77777777" w:rsidR="004A6CFA" w:rsidRDefault="004A6CFA" w:rsidP="0041332C">
      <w:pPr>
        <w:spacing w:line="276" w:lineRule="auto"/>
      </w:pPr>
    </w:p>
    <w:p w14:paraId="7A8BA113" w14:textId="77777777" w:rsidR="004A6CFA" w:rsidRDefault="004A6CFA" w:rsidP="0041332C">
      <w:pPr>
        <w:spacing w:line="276" w:lineRule="auto"/>
      </w:pPr>
    </w:p>
    <w:p w14:paraId="38616624" w14:textId="77777777" w:rsidR="004A6CFA" w:rsidRDefault="004A6CFA" w:rsidP="0041332C">
      <w:pPr>
        <w:spacing w:line="276" w:lineRule="auto"/>
      </w:pPr>
    </w:p>
    <w:p w14:paraId="6E4FB395" w14:textId="77777777" w:rsidR="004A6CFA" w:rsidRDefault="004A6CFA" w:rsidP="0041332C">
      <w:pPr>
        <w:spacing w:line="276" w:lineRule="auto"/>
      </w:pPr>
    </w:p>
    <w:tbl>
      <w:tblPr>
        <w:tblW w:w="8245" w:type="dxa"/>
        <w:tblCellMar>
          <w:left w:w="70" w:type="dxa"/>
          <w:right w:w="70" w:type="dxa"/>
        </w:tblCellMar>
        <w:tblLook w:val="04A0" w:firstRow="1" w:lastRow="0" w:firstColumn="1" w:lastColumn="0" w:noHBand="0" w:noVBand="1"/>
      </w:tblPr>
      <w:tblGrid>
        <w:gridCol w:w="6521"/>
        <w:gridCol w:w="244"/>
        <w:gridCol w:w="1480"/>
      </w:tblGrid>
      <w:tr w:rsidR="00692EA6" w:rsidRPr="00213924" w14:paraId="0527FEC4" w14:textId="77777777" w:rsidTr="004A6CFA">
        <w:trPr>
          <w:trHeight w:val="288"/>
        </w:trPr>
        <w:tc>
          <w:tcPr>
            <w:tcW w:w="6521" w:type="dxa"/>
            <w:tcBorders>
              <w:top w:val="nil"/>
              <w:left w:val="nil"/>
              <w:bottom w:val="nil"/>
              <w:right w:val="nil"/>
            </w:tcBorders>
            <w:shd w:val="clear" w:color="auto" w:fill="auto"/>
            <w:noWrap/>
            <w:vAlign w:val="bottom"/>
          </w:tcPr>
          <w:p w14:paraId="654EA2A9" w14:textId="04F70FC1" w:rsidR="00213924" w:rsidRPr="00213924" w:rsidRDefault="00213924" w:rsidP="00213924">
            <w:pPr>
              <w:rPr>
                <w:rFonts w:ascii="Arial" w:hAnsi="Arial" w:cs="Arial"/>
                <w:b/>
                <w:bCs/>
                <w:color w:val="000000"/>
                <w:sz w:val="22"/>
                <w:szCs w:val="22"/>
                <w:lang w:eastAsia="nl-NL"/>
              </w:rPr>
            </w:pPr>
          </w:p>
        </w:tc>
        <w:tc>
          <w:tcPr>
            <w:tcW w:w="244" w:type="dxa"/>
            <w:tcBorders>
              <w:top w:val="nil"/>
              <w:left w:val="nil"/>
              <w:bottom w:val="nil"/>
              <w:right w:val="nil"/>
            </w:tcBorders>
            <w:shd w:val="clear" w:color="auto" w:fill="auto"/>
            <w:noWrap/>
            <w:vAlign w:val="bottom"/>
          </w:tcPr>
          <w:p w14:paraId="14C31EB0" w14:textId="610E8451" w:rsidR="00213924" w:rsidRPr="00692EA6" w:rsidRDefault="00213924" w:rsidP="00692EA6">
            <w:pPr>
              <w:pStyle w:val="Lijstalinea"/>
              <w:numPr>
                <w:ilvl w:val="0"/>
                <w:numId w:val="2"/>
              </w:numPr>
              <w:jc w:val="center"/>
              <w:rPr>
                <w:rFonts w:ascii="Arial" w:hAnsi="Arial" w:cs="Arial"/>
                <w:b/>
                <w:bCs/>
                <w:color w:val="000000"/>
                <w:sz w:val="22"/>
                <w:szCs w:val="22"/>
                <w:lang w:eastAsia="nl-NL"/>
              </w:rPr>
            </w:pPr>
          </w:p>
        </w:tc>
        <w:tc>
          <w:tcPr>
            <w:tcW w:w="1480" w:type="dxa"/>
            <w:tcBorders>
              <w:top w:val="nil"/>
              <w:left w:val="nil"/>
              <w:bottom w:val="nil"/>
              <w:right w:val="nil"/>
            </w:tcBorders>
            <w:shd w:val="clear" w:color="auto" w:fill="auto"/>
            <w:noWrap/>
            <w:vAlign w:val="bottom"/>
          </w:tcPr>
          <w:p w14:paraId="1C7D11FE" w14:textId="083B2BDD" w:rsidR="00213924" w:rsidRPr="00213924" w:rsidRDefault="00213924" w:rsidP="00213924">
            <w:pPr>
              <w:jc w:val="center"/>
              <w:rPr>
                <w:rFonts w:ascii="Arial" w:hAnsi="Arial" w:cs="Arial"/>
                <w:b/>
                <w:bCs/>
                <w:color w:val="000000"/>
                <w:sz w:val="22"/>
                <w:szCs w:val="22"/>
                <w:lang w:eastAsia="nl-NL"/>
              </w:rPr>
            </w:pPr>
          </w:p>
        </w:tc>
      </w:tr>
      <w:tr w:rsidR="00692EA6" w:rsidRPr="00213924" w14:paraId="247FA9C7" w14:textId="77777777" w:rsidTr="004A6CFA">
        <w:trPr>
          <w:trHeight w:val="288"/>
        </w:trPr>
        <w:tc>
          <w:tcPr>
            <w:tcW w:w="6521" w:type="dxa"/>
            <w:tcBorders>
              <w:top w:val="nil"/>
              <w:left w:val="nil"/>
              <w:bottom w:val="nil"/>
              <w:right w:val="nil"/>
            </w:tcBorders>
            <w:shd w:val="clear" w:color="auto" w:fill="auto"/>
            <w:noWrap/>
            <w:vAlign w:val="bottom"/>
          </w:tcPr>
          <w:p w14:paraId="3D55B669" w14:textId="37C065B7" w:rsidR="00213924" w:rsidRPr="00213924" w:rsidRDefault="00213924" w:rsidP="00213924">
            <w:pPr>
              <w:rPr>
                <w:rFonts w:ascii="Arial" w:hAnsi="Arial" w:cs="Arial"/>
                <w:color w:val="000000"/>
                <w:sz w:val="22"/>
                <w:szCs w:val="22"/>
                <w:lang w:eastAsia="nl-NL"/>
              </w:rPr>
            </w:pPr>
          </w:p>
        </w:tc>
        <w:tc>
          <w:tcPr>
            <w:tcW w:w="244" w:type="dxa"/>
            <w:tcBorders>
              <w:top w:val="nil"/>
              <w:left w:val="nil"/>
              <w:bottom w:val="nil"/>
              <w:right w:val="nil"/>
            </w:tcBorders>
            <w:shd w:val="clear" w:color="auto" w:fill="auto"/>
            <w:noWrap/>
            <w:vAlign w:val="bottom"/>
          </w:tcPr>
          <w:p w14:paraId="1C43A79F" w14:textId="5E6A86C0" w:rsidR="00213924" w:rsidRPr="00213924" w:rsidRDefault="00213924" w:rsidP="00213924">
            <w:pPr>
              <w:rPr>
                <w:rFonts w:ascii="Arial" w:hAnsi="Arial" w:cs="Arial"/>
                <w:color w:val="000000"/>
                <w:sz w:val="22"/>
                <w:szCs w:val="22"/>
                <w:lang w:eastAsia="nl-NL"/>
              </w:rPr>
            </w:pPr>
          </w:p>
        </w:tc>
        <w:tc>
          <w:tcPr>
            <w:tcW w:w="1480" w:type="dxa"/>
            <w:tcBorders>
              <w:top w:val="nil"/>
              <w:left w:val="nil"/>
              <w:bottom w:val="nil"/>
              <w:right w:val="nil"/>
            </w:tcBorders>
            <w:shd w:val="clear" w:color="auto" w:fill="auto"/>
            <w:noWrap/>
            <w:vAlign w:val="bottom"/>
          </w:tcPr>
          <w:p w14:paraId="6A82518E" w14:textId="6B275165" w:rsidR="00213924" w:rsidRPr="00213924" w:rsidRDefault="00213924" w:rsidP="00213924">
            <w:pPr>
              <w:rPr>
                <w:rFonts w:ascii="Arial" w:hAnsi="Arial" w:cs="Arial"/>
                <w:color w:val="000000"/>
                <w:sz w:val="22"/>
                <w:szCs w:val="22"/>
                <w:lang w:eastAsia="nl-NL"/>
              </w:rPr>
            </w:pPr>
          </w:p>
        </w:tc>
      </w:tr>
      <w:tr w:rsidR="00692EA6" w:rsidRPr="00213924" w14:paraId="6E38825E" w14:textId="77777777" w:rsidTr="004A6CFA">
        <w:trPr>
          <w:trHeight w:val="288"/>
        </w:trPr>
        <w:tc>
          <w:tcPr>
            <w:tcW w:w="6521" w:type="dxa"/>
            <w:tcBorders>
              <w:top w:val="nil"/>
              <w:left w:val="nil"/>
              <w:bottom w:val="nil"/>
              <w:right w:val="nil"/>
            </w:tcBorders>
            <w:shd w:val="clear" w:color="auto" w:fill="auto"/>
            <w:noWrap/>
            <w:vAlign w:val="bottom"/>
          </w:tcPr>
          <w:p w14:paraId="50A0EE11" w14:textId="56FE98EA" w:rsidR="00213924" w:rsidRPr="00213924" w:rsidRDefault="00213924" w:rsidP="00213924">
            <w:pPr>
              <w:rPr>
                <w:rFonts w:ascii="Arial" w:hAnsi="Arial" w:cs="Arial"/>
                <w:color w:val="000000"/>
                <w:sz w:val="22"/>
                <w:szCs w:val="22"/>
                <w:lang w:eastAsia="nl-NL"/>
              </w:rPr>
            </w:pPr>
          </w:p>
        </w:tc>
        <w:tc>
          <w:tcPr>
            <w:tcW w:w="244" w:type="dxa"/>
            <w:tcBorders>
              <w:top w:val="nil"/>
              <w:left w:val="nil"/>
              <w:bottom w:val="nil"/>
              <w:right w:val="nil"/>
            </w:tcBorders>
            <w:shd w:val="clear" w:color="auto" w:fill="auto"/>
            <w:noWrap/>
            <w:vAlign w:val="bottom"/>
          </w:tcPr>
          <w:p w14:paraId="48D9D38C" w14:textId="2054243A" w:rsidR="00213924" w:rsidRPr="00213924" w:rsidRDefault="00213924" w:rsidP="00213924">
            <w:pPr>
              <w:rPr>
                <w:rFonts w:ascii="Arial" w:hAnsi="Arial" w:cs="Arial"/>
                <w:color w:val="000000"/>
                <w:sz w:val="22"/>
                <w:szCs w:val="22"/>
                <w:lang w:eastAsia="nl-NL"/>
              </w:rPr>
            </w:pPr>
          </w:p>
        </w:tc>
        <w:tc>
          <w:tcPr>
            <w:tcW w:w="1480" w:type="dxa"/>
            <w:tcBorders>
              <w:top w:val="nil"/>
              <w:left w:val="nil"/>
              <w:bottom w:val="nil"/>
              <w:right w:val="nil"/>
            </w:tcBorders>
            <w:shd w:val="clear" w:color="auto" w:fill="auto"/>
            <w:noWrap/>
            <w:vAlign w:val="bottom"/>
          </w:tcPr>
          <w:p w14:paraId="679585BD" w14:textId="6B0B01E2" w:rsidR="00213924" w:rsidRPr="00213924" w:rsidRDefault="00213924" w:rsidP="00213924">
            <w:pPr>
              <w:rPr>
                <w:rFonts w:ascii="Arial" w:hAnsi="Arial" w:cs="Arial"/>
                <w:color w:val="000000"/>
                <w:sz w:val="22"/>
                <w:szCs w:val="22"/>
                <w:lang w:eastAsia="nl-NL"/>
              </w:rPr>
            </w:pPr>
          </w:p>
        </w:tc>
      </w:tr>
      <w:tr w:rsidR="00692EA6" w:rsidRPr="00213924" w14:paraId="640E5D12" w14:textId="77777777" w:rsidTr="004A6CFA">
        <w:trPr>
          <w:trHeight w:val="288"/>
        </w:trPr>
        <w:tc>
          <w:tcPr>
            <w:tcW w:w="6521" w:type="dxa"/>
            <w:tcBorders>
              <w:top w:val="nil"/>
              <w:left w:val="nil"/>
              <w:bottom w:val="nil"/>
              <w:right w:val="nil"/>
            </w:tcBorders>
            <w:shd w:val="clear" w:color="auto" w:fill="auto"/>
            <w:noWrap/>
            <w:vAlign w:val="bottom"/>
          </w:tcPr>
          <w:p w14:paraId="08EE40C5" w14:textId="537E4DEE" w:rsidR="00213924" w:rsidRPr="00213924" w:rsidRDefault="00213924" w:rsidP="00213924">
            <w:pPr>
              <w:rPr>
                <w:rFonts w:ascii="Arial" w:hAnsi="Arial" w:cs="Arial"/>
                <w:color w:val="000000"/>
                <w:sz w:val="22"/>
                <w:szCs w:val="22"/>
                <w:lang w:eastAsia="nl-NL"/>
              </w:rPr>
            </w:pPr>
          </w:p>
        </w:tc>
        <w:tc>
          <w:tcPr>
            <w:tcW w:w="244" w:type="dxa"/>
            <w:tcBorders>
              <w:top w:val="nil"/>
              <w:left w:val="nil"/>
              <w:bottom w:val="nil"/>
              <w:right w:val="nil"/>
            </w:tcBorders>
            <w:shd w:val="clear" w:color="auto" w:fill="auto"/>
            <w:noWrap/>
            <w:vAlign w:val="bottom"/>
          </w:tcPr>
          <w:p w14:paraId="37377958" w14:textId="45E73F90" w:rsidR="00213924" w:rsidRPr="00213924" w:rsidRDefault="00213924" w:rsidP="00213924">
            <w:pPr>
              <w:rPr>
                <w:rFonts w:ascii="Arial" w:hAnsi="Arial" w:cs="Arial"/>
                <w:color w:val="000000"/>
                <w:sz w:val="22"/>
                <w:szCs w:val="22"/>
                <w:lang w:eastAsia="nl-NL"/>
              </w:rPr>
            </w:pPr>
          </w:p>
        </w:tc>
        <w:tc>
          <w:tcPr>
            <w:tcW w:w="1480" w:type="dxa"/>
            <w:tcBorders>
              <w:top w:val="nil"/>
              <w:left w:val="nil"/>
              <w:bottom w:val="nil"/>
              <w:right w:val="nil"/>
            </w:tcBorders>
            <w:shd w:val="clear" w:color="auto" w:fill="auto"/>
            <w:noWrap/>
            <w:vAlign w:val="bottom"/>
          </w:tcPr>
          <w:p w14:paraId="6636EC26" w14:textId="003D2CAB" w:rsidR="00213924" w:rsidRPr="00213924" w:rsidRDefault="00213924" w:rsidP="00213924">
            <w:pPr>
              <w:rPr>
                <w:rFonts w:ascii="Arial" w:hAnsi="Arial" w:cs="Arial"/>
                <w:color w:val="000000"/>
                <w:sz w:val="22"/>
                <w:szCs w:val="22"/>
                <w:lang w:eastAsia="nl-NL"/>
              </w:rPr>
            </w:pPr>
          </w:p>
        </w:tc>
      </w:tr>
      <w:tr w:rsidR="00692EA6" w:rsidRPr="00213924" w14:paraId="35A0CAF0" w14:textId="77777777" w:rsidTr="004A6CFA">
        <w:trPr>
          <w:trHeight w:val="288"/>
        </w:trPr>
        <w:tc>
          <w:tcPr>
            <w:tcW w:w="6521" w:type="dxa"/>
            <w:tcBorders>
              <w:top w:val="nil"/>
              <w:left w:val="nil"/>
              <w:bottom w:val="nil"/>
              <w:right w:val="nil"/>
            </w:tcBorders>
            <w:shd w:val="clear" w:color="auto" w:fill="auto"/>
            <w:noWrap/>
            <w:vAlign w:val="bottom"/>
          </w:tcPr>
          <w:p w14:paraId="161571A1" w14:textId="052E3BA7" w:rsidR="00213924" w:rsidRPr="00213924" w:rsidRDefault="00213924" w:rsidP="00213924">
            <w:pPr>
              <w:rPr>
                <w:rFonts w:ascii="Arial" w:hAnsi="Arial" w:cs="Arial"/>
                <w:color w:val="000000"/>
                <w:sz w:val="22"/>
                <w:szCs w:val="22"/>
                <w:lang w:eastAsia="nl-NL"/>
              </w:rPr>
            </w:pPr>
          </w:p>
        </w:tc>
        <w:tc>
          <w:tcPr>
            <w:tcW w:w="244" w:type="dxa"/>
            <w:tcBorders>
              <w:top w:val="nil"/>
              <w:left w:val="nil"/>
              <w:bottom w:val="nil"/>
              <w:right w:val="nil"/>
            </w:tcBorders>
            <w:shd w:val="clear" w:color="auto" w:fill="auto"/>
            <w:noWrap/>
            <w:vAlign w:val="bottom"/>
          </w:tcPr>
          <w:p w14:paraId="4FB4EB27" w14:textId="71592D5D" w:rsidR="00213924" w:rsidRPr="00213924" w:rsidRDefault="00213924" w:rsidP="00213924">
            <w:pPr>
              <w:rPr>
                <w:rFonts w:ascii="Arial" w:hAnsi="Arial" w:cs="Arial"/>
                <w:color w:val="000000"/>
                <w:sz w:val="22"/>
                <w:szCs w:val="22"/>
                <w:lang w:eastAsia="nl-NL"/>
              </w:rPr>
            </w:pPr>
          </w:p>
        </w:tc>
        <w:tc>
          <w:tcPr>
            <w:tcW w:w="1480" w:type="dxa"/>
            <w:tcBorders>
              <w:top w:val="nil"/>
              <w:left w:val="nil"/>
              <w:bottom w:val="nil"/>
              <w:right w:val="nil"/>
            </w:tcBorders>
            <w:shd w:val="clear" w:color="auto" w:fill="auto"/>
            <w:noWrap/>
            <w:vAlign w:val="bottom"/>
          </w:tcPr>
          <w:p w14:paraId="6AAE23D0" w14:textId="2F808ACA" w:rsidR="00213924" w:rsidRPr="00213924" w:rsidRDefault="00213924" w:rsidP="00213924">
            <w:pPr>
              <w:rPr>
                <w:rFonts w:ascii="Arial" w:hAnsi="Arial" w:cs="Arial"/>
                <w:color w:val="000000"/>
                <w:sz w:val="22"/>
                <w:szCs w:val="22"/>
                <w:lang w:eastAsia="nl-NL"/>
              </w:rPr>
            </w:pPr>
          </w:p>
        </w:tc>
      </w:tr>
    </w:tbl>
    <w:p w14:paraId="510BB515" w14:textId="04584980" w:rsidR="00EF2D35" w:rsidRPr="00384016" w:rsidRDefault="00EF2D35" w:rsidP="00B0623F">
      <w:pPr>
        <w:spacing w:line="276" w:lineRule="auto"/>
      </w:pPr>
    </w:p>
    <w:sectPr w:rsidR="00EF2D35" w:rsidRPr="00384016" w:rsidSect="004771CF">
      <w:footerReference w:type="default" r:id="rId8"/>
      <w:pgSz w:w="11907" w:h="16840" w:code="9"/>
      <w:pgMar w:top="851" w:right="1134" w:bottom="85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17771" w14:textId="77777777" w:rsidR="0098171D" w:rsidRDefault="0098171D" w:rsidP="00CD1AE4">
      <w:r>
        <w:separator/>
      </w:r>
    </w:p>
  </w:endnote>
  <w:endnote w:type="continuationSeparator" w:id="0">
    <w:p w14:paraId="5A677C4C" w14:textId="77777777" w:rsidR="0098171D" w:rsidRDefault="0098171D" w:rsidP="00CD1AE4">
      <w:r>
        <w:continuationSeparator/>
      </w:r>
    </w:p>
  </w:endnote>
  <w:endnote w:type="continuationNotice" w:id="1">
    <w:p w14:paraId="70D23D70" w14:textId="77777777" w:rsidR="0098171D" w:rsidRDefault="00981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tillium Web">
    <w:charset w:val="00"/>
    <w:family w:val="auto"/>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Bd">
    <w:altName w:val="Calibri"/>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184378"/>
      <w:docPartObj>
        <w:docPartGallery w:val="Page Numbers (Bottom of Page)"/>
        <w:docPartUnique/>
      </w:docPartObj>
    </w:sdtPr>
    <w:sdtEndPr>
      <w:rPr>
        <w:sz w:val="18"/>
        <w:szCs w:val="18"/>
      </w:rPr>
    </w:sdtEndPr>
    <w:sdtContent>
      <w:p w14:paraId="795A9FCE" w14:textId="4D94D657" w:rsidR="008776C1" w:rsidRPr="008776C1" w:rsidRDefault="008776C1">
        <w:pPr>
          <w:pStyle w:val="Voettekst"/>
          <w:jc w:val="center"/>
          <w:rPr>
            <w:sz w:val="18"/>
            <w:szCs w:val="18"/>
          </w:rPr>
        </w:pPr>
        <w:r w:rsidRPr="008776C1">
          <w:rPr>
            <w:sz w:val="18"/>
            <w:szCs w:val="18"/>
          </w:rPr>
          <w:fldChar w:fldCharType="begin"/>
        </w:r>
        <w:r w:rsidRPr="008776C1">
          <w:rPr>
            <w:sz w:val="18"/>
            <w:szCs w:val="18"/>
          </w:rPr>
          <w:instrText>PAGE   \* MERGEFORMAT</w:instrText>
        </w:r>
        <w:r w:rsidRPr="008776C1">
          <w:rPr>
            <w:sz w:val="18"/>
            <w:szCs w:val="18"/>
          </w:rPr>
          <w:fldChar w:fldCharType="separate"/>
        </w:r>
        <w:r w:rsidRPr="008776C1">
          <w:rPr>
            <w:sz w:val="18"/>
            <w:szCs w:val="18"/>
          </w:rPr>
          <w:t>2</w:t>
        </w:r>
        <w:r w:rsidRPr="008776C1">
          <w:rPr>
            <w:sz w:val="18"/>
            <w:szCs w:val="18"/>
          </w:rPr>
          <w:fldChar w:fldCharType="end"/>
        </w:r>
      </w:p>
    </w:sdtContent>
  </w:sdt>
  <w:p w14:paraId="4499FDAE" w14:textId="77777777" w:rsidR="008776C1" w:rsidRDefault="008776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F1B7" w14:textId="77777777" w:rsidR="0098171D" w:rsidRDefault="0098171D" w:rsidP="00CD1AE4">
      <w:r>
        <w:separator/>
      </w:r>
    </w:p>
  </w:footnote>
  <w:footnote w:type="continuationSeparator" w:id="0">
    <w:p w14:paraId="39ABC7BF" w14:textId="77777777" w:rsidR="0098171D" w:rsidRDefault="0098171D" w:rsidP="00CD1AE4">
      <w:r>
        <w:continuationSeparator/>
      </w:r>
    </w:p>
  </w:footnote>
  <w:footnote w:type="continuationNotice" w:id="1">
    <w:p w14:paraId="3528A842" w14:textId="77777777" w:rsidR="0098171D" w:rsidRDefault="0098171D"/>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3E3F"/>
    <w:multiLevelType w:val="hybridMultilevel"/>
    <w:tmpl w:val="EE40A3F6"/>
    <w:lvl w:ilvl="0" w:tplc="F0ACADD2">
      <w:start w:val="2"/>
      <w:numFmt w:val="bullet"/>
      <w:lvlText w:val="-"/>
      <w:lvlJc w:val="left"/>
      <w:pPr>
        <w:ind w:left="720" w:hanging="360"/>
      </w:pPr>
      <w:rPr>
        <w:rFonts w:ascii="Titillium Web" w:eastAsia="Times New Roman" w:hAnsi="Titillium Web"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12843B6"/>
    <w:multiLevelType w:val="hybridMultilevel"/>
    <w:tmpl w:val="94C25E08"/>
    <w:lvl w:ilvl="0" w:tplc="07384BAC">
      <w:start w:val="19"/>
      <w:numFmt w:val="bullet"/>
      <w:lvlText w:val="-"/>
      <w:lvlJc w:val="left"/>
      <w:pPr>
        <w:ind w:left="720" w:hanging="360"/>
      </w:pPr>
      <w:rPr>
        <w:rFonts w:ascii="Titillium Web" w:eastAsia="Times New Roman" w:hAnsi="Titillium Web"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9C763B7"/>
    <w:multiLevelType w:val="hybridMultilevel"/>
    <w:tmpl w:val="5FDE2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7FF3B41"/>
    <w:multiLevelType w:val="hybridMultilevel"/>
    <w:tmpl w:val="D3FE536A"/>
    <w:lvl w:ilvl="0" w:tplc="ADC62E98">
      <w:start w:val="19"/>
      <w:numFmt w:val="bullet"/>
      <w:lvlText w:val="-"/>
      <w:lvlJc w:val="left"/>
      <w:pPr>
        <w:ind w:left="720" w:hanging="360"/>
      </w:pPr>
      <w:rPr>
        <w:rFonts w:ascii="Titillium Web" w:eastAsia="Times New Roman" w:hAnsi="Titillium Web"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4314376">
    <w:abstractNumId w:val="0"/>
  </w:num>
  <w:num w:numId="2" w16cid:durableId="387580943">
    <w:abstractNumId w:val="2"/>
  </w:num>
  <w:num w:numId="3" w16cid:durableId="1020542848">
    <w:abstractNumId w:val="3"/>
  </w:num>
  <w:num w:numId="4" w16cid:durableId="161011688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84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51C"/>
    <w:rsid w:val="0000023D"/>
    <w:rsid w:val="00000F74"/>
    <w:rsid w:val="00002A15"/>
    <w:rsid w:val="00003880"/>
    <w:rsid w:val="00003A0A"/>
    <w:rsid w:val="00004AE9"/>
    <w:rsid w:val="000061F3"/>
    <w:rsid w:val="00007197"/>
    <w:rsid w:val="0001381C"/>
    <w:rsid w:val="00016D5E"/>
    <w:rsid w:val="00017BBE"/>
    <w:rsid w:val="00017D42"/>
    <w:rsid w:val="000216E3"/>
    <w:rsid w:val="00022521"/>
    <w:rsid w:val="00022CE4"/>
    <w:rsid w:val="00025652"/>
    <w:rsid w:val="00025C4F"/>
    <w:rsid w:val="0002684A"/>
    <w:rsid w:val="00033032"/>
    <w:rsid w:val="000336F4"/>
    <w:rsid w:val="00035120"/>
    <w:rsid w:val="00036031"/>
    <w:rsid w:val="000366E1"/>
    <w:rsid w:val="00037762"/>
    <w:rsid w:val="00040352"/>
    <w:rsid w:val="00040A57"/>
    <w:rsid w:val="00040C13"/>
    <w:rsid w:val="00042B77"/>
    <w:rsid w:val="00046822"/>
    <w:rsid w:val="000509F4"/>
    <w:rsid w:val="00051013"/>
    <w:rsid w:val="00054894"/>
    <w:rsid w:val="00056228"/>
    <w:rsid w:val="00057EE7"/>
    <w:rsid w:val="00061B78"/>
    <w:rsid w:val="00063410"/>
    <w:rsid w:val="00063659"/>
    <w:rsid w:val="00063ED6"/>
    <w:rsid w:val="00066DF6"/>
    <w:rsid w:val="00071B59"/>
    <w:rsid w:val="00072FE4"/>
    <w:rsid w:val="00075CA3"/>
    <w:rsid w:val="0007655E"/>
    <w:rsid w:val="00084779"/>
    <w:rsid w:val="000852D4"/>
    <w:rsid w:val="00085D19"/>
    <w:rsid w:val="00090748"/>
    <w:rsid w:val="00093622"/>
    <w:rsid w:val="000A3DDC"/>
    <w:rsid w:val="000A453A"/>
    <w:rsid w:val="000A571B"/>
    <w:rsid w:val="000A6F5E"/>
    <w:rsid w:val="000A7C3B"/>
    <w:rsid w:val="000A7E93"/>
    <w:rsid w:val="000B1252"/>
    <w:rsid w:val="000B1D44"/>
    <w:rsid w:val="000B2830"/>
    <w:rsid w:val="000B6972"/>
    <w:rsid w:val="000B6C66"/>
    <w:rsid w:val="000B7755"/>
    <w:rsid w:val="000C06AC"/>
    <w:rsid w:val="000C2A04"/>
    <w:rsid w:val="000C40C2"/>
    <w:rsid w:val="000C442C"/>
    <w:rsid w:val="000C450F"/>
    <w:rsid w:val="000C57F3"/>
    <w:rsid w:val="000C7024"/>
    <w:rsid w:val="000C78CA"/>
    <w:rsid w:val="000C7AC4"/>
    <w:rsid w:val="000D04CD"/>
    <w:rsid w:val="000D0591"/>
    <w:rsid w:val="000D0FE5"/>
    <w:rsid w:val="000D325B"/>
    <w:rsid w:val="000D3D9F"/>
    <w:rsid w:val="000D7DEA"/>
    <w:rsid w:val="000E2009"/>
    <w:rsid w:val="000E2696"/>
    <w:rsid w:val="000E2D6E"/>
    <w:rsid w:val="000E415F"/>
    <w:rsid w:val="000F0A17"/>
    <w:rsid w:val="000F20CF"/>
    <w:rsid w:val="000F35E0"/>
    <w:rsid w:val="000F3E71"/>
    <w:rsid w:val="000F53E1"/>
    <w:rsid w:val="000F5D16"/>
    <w:rsid w:val="000F6B50"/>
    <w:rsid w:val="001004AD"/>
    <w:rsid w:val="0010174A"/>
    <w:rsid w:val="00102865"/>
    <w:rsid w:val="00103945"/>
    <w:rsid w:val="00103AC3"/>
    <w:rsid w:val="0010429A"/>
    <w:rsid w:val="0010498E"/>
    <w:rsid w:val="00104F34"/>
    <w:rsid w:val="00105C62"/>
    <w:rsid w:val="00107144"/>
    <w:rsid w:val="00107B59"/>
    <w:rsid w:val="00110D9D"/>
    <w:rsid w:val="0011208F"/>
    <w:rsid w:val="001120F7"/>
    <w:rsid w:val="0011332A"/>
    <w:rsid w:val="00114C42"/>
    <w:rsid w:val="00115496"/>
    <w:rsid w:val="001170DA"/>
    <w:rsid w:val="001225F5"/>
    <w:rsid w:val="00122EDC"/>
    <w:rsid w:val="00124910"/>
    <w:rsid w:val="001265ED"/>
    <w:rsid w:val="001312CF"/>
    <w:rsid w:val="00136D27"/>
    <w:rsid w:val="001379D0"/>
    <w:rsid w:val="001402A7"/>
    <w:rsid w:val="00140BC2"/>
    <w:rsid w:val="00143B6A"/>
    <w:rsid w:val="00144D6A"/>
    <w:rsid w:val="00145825"/>
    <w:rsid w:val="00151DF4"/>
    <w:rsid w:val="00152899"/>
    <w:rsid w:val="00154185"/>
    <w:rsid w:val="00155E7D"/>
    <w:rsid w:val="0015618D"/>
    <w:rsid w:val="0016217F"/>
    <w:rsid w:val="001667F7"/>
    <w:rsid w:val="00170F84"/>
    <w:rsid w:val="00171EBE"/>
    <w:rsid w:val="0017279D"/>
    <w:rsid w:val="00176129"/>
    <w:rsid w:val="00176E55"/>
    <w:rsid w:val="0017725D"/>
    <w:rsid w:val="00180652"/>
    <w:rsid w:val="00180E41"/>
    <w:rsid w:val="00182367"/>
    <w:rsid w:val="00182BA0"/>
    <w:rsid w:val="0018315B"/>
    <w:rsid w:val="001833D8"/>
    <w:rsid w:val="0019036F"/>
    <w:rsid w:val="00190A01"/>
    <w:rsid w:val="0019180C"/>
    <w:rsid w:val="00192AAA"/>
    <w:rsid w:val="00194654"/>
    <w:rsid w:val="001A0B00"/>
    <w:rsid w:val="001A3DA7"/>
    <w:rsid w:val="001A4B34"/>
    <w:rsid w:val="001A609D"/>
    <w:rsid w:val="001B011D"/>
    <w:rsid w:val="001B5383"/>
    <w:rsid w:val="001B6549"/>
    <w:rsid w:val="001B6609"/>
    <w:rsid w:val="001B6F7E"/>
    <w:rsid w:val="001B71AA"/>
    <w:rsid w:val="001C12E4"/>
    <w:rsid w:val="001C5ABF"/>
    <w:rsid w:val="001C66F6"/>
    <w:rsid w:val="001D01A3"/>
    <w:rsid w:val="001D0F5E"/>
    <w:rsid w:val="001D183D"/>
    <w:rsid w:val="001D1B60"/>
    <w:rsid w:val="001D6C46"/>
    <w:rsid w:val="001D6FCA"/>
    <w:rsid w:val="001D78C5"/>
    <w:rsid w:val="001E0381"/>
    <w:rsid w:val="001E0BDA"/>
    <w:rsid w:val="001E58B9"/>
    <w:rsid w:val="001F02E1"/>
    <w:rsid w:val="001F1F03"/>
    <w:rsid w:val="001F36DC"/>
    <w:rsid w:val="001F3DAF"/>
    <w:rsid w:val="001F4267"/>
    <w:rsid w:val="001F4C83"/>
    <w:rsid w:val="001F4CDB"/>
    <w:rsid w:val="001F5998"/>
    <w:rsid w:val="001F69B8"/>
    <w:rsid w:val="001F7E82"/>
    <w:rsid w:val="00200C78"/>
    <w:rsid w:val="00201667"/>
    <w:rsid w:val="00201C78"/>
    <w:rsid w:val="00201D34"/>
    <w:rsid w:val="002074CE"/>
    <w:rsid w:val="00207BC9"/>
    <w:rsid w:val="0021296A"/>
    <w:rsid w:val="00213924"/>
    <w:rsid w:val="002165B2"/>
    <w:rsid w:val="00216D69"/>
    <w:rsid w:val="0021715B"/>
    <w:rsid w:val="00217E01"/>
    <w:rsid w:val="0022018E"/>
    <w:rsid w:val="00223947"/>
    <w:rsid w:val="00224389"/>
    <w:rsid w:val="0022440F"/>
    <w:rsid w:val="00224E5F"/>
    <w:rsid w:val="002263BD"/>
    <w:rsid w:val="002273F6"/>
    <w:rsid w:val="0023005C"/>
    <w:rsid w:val="002305B6"/>
    <w:rsid w:val="00231387"/>
    <w:rsid w:val="00232C7F"/>
    <w:rsid w:val="00233AF5"/>
    <w:rsid w:val="00235874"/>
    <w:rsid w:val="0023737C"/>
    <w:rsid w:val="0024011C"/>
    <w:rsid w:val="00242836"/>
    <w:rsid w:val="002442DE"/>
    <w:rsid w:val="00244DB8"/>
    <w:rsid w:val="0024530A"/>
    <w:rsid w:val="00245A7E"/>
    <w:rsid w:val="0025036F"/>
    <w:rsid w:val="00250A37"/>
    <w:rsid w:val="00252001"/>
    <w:rsid w:val="002525B7"/>
    <w:rsid w:val="002530A1"/>
    <w:rsid w:val="00256C1B"/>
    <w:rsid w:val="002630C3"/>
    <w:rsid w:val="00263DE4"/>
    <w:rsid w:val="0027173B"/>
    <w:rsid w:val="00271C27"/>
    <w:rsid w:val="00272A0D"/>
    <w:rsid w:val="00274016"/>
    <w:rsid w:val="00274A7A"/>
    <w:rsid w:val="00275FCB"/>
    <w:rsid w:val="00277268"/>
    <w:rsid w:val="0028041A"/>
    <w:rsid w:val="00281637"/>
    <w:rsid w:val="00282564"/>
    <w:rsid w:val="00282A31"/>
    <w:rsid w:val="00290E1B"/>
    <w:rsid w:val="002948D1"/>
    <w:rsid w:val="00296B99"/>
    <w:rsid w:val="002976A8"/>
    <w:rsid w:val="00297C7F"/>
    <w:rsid w:val="002A263C"/>
    <w:rsid w:val="002A5E9D"/>
    <w:rsid w:val="002A6607"/>
    <w:rsid w:val="002B043E"/>
    <w:rsid w:val="002B0A8E"/>
    <w:rsid w:val="002B1409"/>
    <w:rsid w:val="002B19F9"/>
    <w:rsid w:val="002B219B"/>
    <w:rsid w:val="002B27DA"/>
    <w:rsid w:val="002B2D96"/>
    <w:rsid w:val="002C43A4"/>
    <w:rsid w:val="002C6B85"/>
    <w:rsid w:val="002C7CC8"/>
    <w:rsid w:val="002D0CDD"/>
    <w:rsid w:val="002D1F9E"/>
    <w:rsid w:val="002D2621"/>
    <w:rsid w:val="002D46A9"/>
    <w:rsid w:val="002D4929"/>
    <w:rsid w:val="002E031F"/>
    <w:rsid w:val="002E05F9"/>
    <w:rsid w:val="002E0D3C"/>
    <w:rsid w:val="002E1218"/>
    <w:rsid w:val="002E151C"/>
    <w:rsid w:val="002E153A"/>
    <w:rsid w:val="002E2648"/>
    <w:rsid w:val="002E2BEB"/>
    <w:rsid w:val="002E396C"/>
    <w:rsid w:val="002E3BC8"/>
    <w:rsid w:val="002E4685"/>
    <w:rsid w:val="002E4EF4"/>
    <w:rsid w:val="002E5060"/>
    <w:rsid w:val="002E5829"/>
    <w:rsid w:val="002F10CF"/>
    <w:rsid w:val="002F1425"/>
    <w:rsid w:val="002F274B"/>
    <w:rsid w:val="002F2FFF"/>
    <w:rsid w:val="002F3DD9"/>
    <w:rsid w:val="002F6217"/>
    <w:rsid w:val="002F75DD"/>
    <w:rsid w:val="00304C34"/>
    <w:rsid w:val="003116D8"/>
    <w:rsid w:val="0031400B"/>
    <w:rsid w:val="0031510E"/>
    <w:rsid w:val="0031530D"/>
    <w:rsid w:val="00316E84"/>
    <w:rsid w:val="003239DD"/>
    <w:rsid w:val="003309D7"/>
    <w:rsid w:val="00330B60"/>
    <w:rsid w:val="00330C23"/>
    <w:rsid w:val="00331C2D"/>
    <w:rsid w:val="00332A75"/>
    <w:rsid w:val="00334393"/>
    <w:rsid w:val="00334B17"/>
    <w:rsid w:val="00336294"/>
    <w:rsid w:val="0034181F"/>
    <w:rsid w:val="0034220C"/>
    <w:rsid w:val="00342CCA"/>
    <w:rsid w:val="00344EE9"/>
    <w:rsid w:val="0034509C"/>
    <w:rsid w:val="00351DFF"/>
    <w:rsid w:val="00352C88"/>
    <w:rsid w:val="00354AF0"/>
    <w:rsid w:val="0035505A"/>
    <w:rsid w:val="003572C8"/>
    <w:rsid w:val="003578ED"/>
    <w:rsid w:val="003619B6"/>
    <w:rsid w:val="00365E8B"/>
    <w:rsid w:val="00366550"/>
    <w:rsid w:val="00371315"/>
    <w:rsid w:val="003729C4"/>
    <w:rsid w:val="003737D7"/>
    <w:rsid w:val="00374330"/>
    <w:rsid w:val="00381715"/>
    <w:rsid w:val="00384016"/>
    <w:rsid w:val="003843EC"/>
    <w:rsid w:val="003922C6"/>
    <w:rsid w:val="00393447"/>
    <w:rsid w:val="003948F7"/>
    <w:rsid w:val="00396C6B"/>
    <w:rsid w:val="00396F56"/>
    <w:rsid w:val="00397694"/>
    <w:rsid w:val="003A10FD"/>
    <w:rsid w:val="003A2F0F"/>
    <w:rsid w:val="003A3701"/>
    <w:rsid w:val="003A3826"/>
    <w:rsid w:val="003A49BE"/>
    <w:rsid w:val="003A535B"/>
    <w:rsid w:val="003A7E25"/>
    <w:rsid w:val="003B0AD6"/>
    <w:rsid w:val="003B1957"/>
    <w:rsid w:val="003B4A51"/>
    <w:rsid w:val="003B751C"/>
    <w:rsid w:val="003C0641"/>
    <w:rsid w:val="003C3E1C"/>
    <w:rsid w:val="003C3EAF"/>
    <w:rsid w:val="003C4F05"/>
    <w:rsid w:val="003D013B"/>
    <w:rsid w:val="003D0152"/>
    <w:rsid w:val="003D03F9"/>
    <w:rsid w:val="003D271F"/>
    <w:rsid w:val="003D5DD0"/>
    <w:rsid w:val="003D5F72"/>
    <w:rsid w:val="003D670A"/>
    <w:rsid w:val="003E15B0"/>
    <w:rsid w:val="003E1E53"/>
    <w:rsid w:val="003E20CF"/>
    <w:rsid w:val="003E25EC"/>
    <w:rsid w:val="003E36D5"/>
    <w:rsid w:val="003E607D"/>
    <w:rsid w:val="003E608F"/>
    <w:rsid w:val="003F4CE6"/>
    <w:rsid w:val="00400994"/>
    <w:rsid w:val="004033FE"/>
    <w:rsid w:val="00403989"/>
    <w:rsid w:val="004057EC"/>
    <w:rsid w:val="00405B82"/>
    <w:rsid w:val="004067CE"/>
    <w:rsid w:val="0040797B"/>
    <w:rsid w:val="00407B49"/>
    <w:rsid w:val="004106B8"/>
    <w:rsid w:val="0041332C"/>
    <w:rsid w:val="0041456E"/>
    <w:rsid w:val="004175CE"/>
    <w:rsid w:val="00417CC1"/>
    <w:rsid w:val="004211F2"/>
    <w:rsid w:val="00421466"/>
    <w:rsid w:val="00421C1F"/>
    <w:rsid w:val="0042401C"/>
    <w:rsid w:val="0042501E"/>
    <w:rsid w:val="00426367"/>
    <w:rsid w:val="00426909"/>
    <w:rsid w:val="004274A3"/>
    <w:rsid w:val="00431301"/>
    <w:rsid w:val="004315CB"/>
    <w:rsid w:val="00432252"/>
    <w:rsid w:val="00432EA9"/>
    <w:rsid w:val="00435D95"/>
    <w:rsid w:val="00440416"/>
    <w:rsid w:val="0044115B"/>
    <w:rsid w:val="0044182F"/>
    <w:rsid w:val="004439B6"/>
    <w:rsid w:val="00444CA3"/>
    <w:rsid w:val="00445655"/>
    <w:rsid w:val="00445DF4"/>
    <w:rsid w:val="00447625"/>
    <w:rsid w:val="00447A38"/>
    <w:rsid w:val="00447B21"/>
    <w:rsid w:val="00447F12"/>
    <w:rsid w:val="004505C7"/>
    <w:rsid w:val="00450C10"/>
    <w:rsid w:val="00451731"/>
    <w:rsid w:val="00451B60"/>
    <w:rsid w:val="004522B4"/>
    <w:rsid w:val="00454F5A"/>
    <w:rsid w:val="00456CB2"/>
    <w:rsid w:val="0045713D"/>
    <w:rsid w:val="0046019C"/>
    <w:rsid w:val="00460762"/>
    <w:rsid w:val="00463C68"/>
    <w:rsid w:val="00464676"/>
    <w:rsid w:val="00464D0F"/>
    <w:rsid w:val="00464F38"/>
    <w:rsid w:val="00467B2E"/>
    <w:rsid w:val="004721EE"/>
    <w:rsid w:val="004724D8"/>
    <w:rsid w:val="00472F1D"/>
    <w:rsid w:val="0047471D"/>
    <w:rsid w:val="00474F0A"/>
    <w:rsid w:val="00475847"/>
    <w:rsid w:val="004771CF"/>
    <w:rsid w:val="00477C7E"/>
    <w:rsid w:val="00480453"/>
    <w:rsid w:val="00481471"/>
    <w:rsid w:val="00481E78"/>
    <w:rsid w:val="00484D4D"/>
    <w:rsid w:val="00484F5F"/>
    <w:rsid w:val="00485A94"/>
    <w:rsid w:val="0048738D"/>
    <w:rsid w:val="00493115"/>
    <w:rsid w:val="00497091"/>
    <w:rsid w:val="004A0F29"/>
    <w:rsid w:val="004A1822"/>
    <w:rsid w:val="004A413A"/>
    <w:rsid w:val="004A53F4"/>
    <w:rsid w:val="004A5E4B"/>
    <w:rsid w:val="004A6CFA"/>
    <w:rsid w:val="004A7E0A"/>
    <w:rsid w:val="004B026C"/>
    <w:rsid w:val="004B2110"/>
    <w:rsid w:val="004B35E3"/>
    <w:rsid w:val="004B6047"/>
    <w:rsid w:val="004B7EB3"/>
    <w:rsid w:val="004C1AC7"/>
    <w:rsid w:val="004C2639"/>
    <w:rsid w:val="004C2BC8"/>
    <w:rsid w:val="004C51D4"/>
    <w:rsid w:val="004C6559"/>
    <w:rsid w:val="004D28B5"/>
    <w:rsid w:val="004D5705"/>
    <w:rsid w:val="004D6ADB"/>
    <w:rsid w:val="004E4AF9"/>
    <w:rsid w:val="004E5E82"/>
    <w:rsid w:val="004F1C0E"/>
    <w:rsid w:val="004F255B"/>
    <w:rsid w:val="004F29F0"/>
    <w:rsid w:val="004F5336"/>
    <w:rsid w:val="0050073C"/>
    <w:rsid w:val="00501D25"/>
    <w:rsid w:val="00504788"/>
    <w:rsid w:val="00505606"/>
    <w:rsid w:val="0050562B"/>
    <w:rsid w:val="00505DCE"/>
    <w:rsid w:val="00507FC8"/>
    <w:rsid w:val="0051103F"/>
    <w:rsid w:val="00511466"/>
    <w:rsid w:val="0051588F"/>
    <w:rsid w:val="00517C2E"/>
    <w:rsid w:val="0052064A"/>
    <w:rsid w:val="00520E2C"/>
    <w:rsid w:val="00522D52"/>
    <w:rsid w:val="00527E84"/>
    <w:rsid w:val="00530DD9"/>
    <w:rsid w:val="0053117C"/>
    <w:rsid w:val="0053436D"/>
    <w:rsid w:val="00534902"/>
    <w:rsid w:val="005372F5"/>
    <w:rsid w:val="0054056D"/>
    <w:rsid w:val="00540714"/>
    <w:rsid w:val="00540D78"/>
    <w:rsid w:val="00540FAE"/>
    <w:rsid w:val="005429F1"/>
    <w:rsid w:val="00543DA6"/>
    <w:rsid w:val="00546628"/>
    <w:rsid w:val="00550900"/>
    <w:rsid w:val="0055093F"/>
    <w:rsid w:val="00551DAC"/>
    <w:rsid w:val="005520BD"/>
    <w:rsid w:val="00553607"/>
    <w:rsid w:val="00556019"/>
    <w:rsid w:val="005562F0"/>
    <w:rsid w:val="00556659"/>
    <w:rsid w:val="00556E6F"/>
    <w:rsid w:val="00560E63"/>
    <w:rsid w:val="00561015"/>
    <w:rsid w:val="00565006"/>
    <w:rsid w:val="0056641F"/>
    <w:rsid w:val="00566BA8"/>
    <w:rsid w:val="00570464"/>
    <w:rsid w:val="0057066A"/>
    <w:rsid w:val="005713E6"/>
    <w:rsid w:val="005718CD"/>
    <w:rsid w:val="00572CE7"/>
    <w:rsid w:val="00576488"/>
    <w:rsid w:val="00576A86"/>
    <w:rsid w:val="00577D08"/>
    <w:rsid w:val="00580F06"/>
    <w:rsid w:val="005814C5"/>
    <w:rsid w:val="0058195F"/>
    <w:rsid w:val="005842BC"/>
    <w:rsid w:val="00584CC6"/>
    <w:rsid w:val="0058541F"/>
    <w:rsid w:val="0058614F"/>
    <w:rsid w:val="00591730"/>
    <w:rsid w:val="00594DE3"/>
    <w:rsid w:val="00595483"/>
    <w:rsid w:val="005963F7"/>
    <w:rsid w:val="005977E4"/>
    <w:rsid w:val="005A1659"/>
    <w:rsid w:val="005A212F"/>
    <w:rsid w:val="005A2B34"/>
    <w:rsid w:val="005A5168"/>
    <w:rsid w:val="005A6826"/>
    <w:rsid w:val="005A6AF1"/>
    <w:rsid w:val="005B045E"/>
    <w:rsid w:val="005B0C69"/>
    <w:rsid w:val="005B1F19"/>
    <w:rsid w:val="005B4BF3"/>
    <w:rsid w:val="005B4E87"/>
    <w:rsid w:val="005B5C5D"/>
    <w:rsid w:val="005B6085"/>
    <w:rsid w:val="005B79EB"/>
    <w:rsid w:val="005C0977"/>
    <w:rsid w:val="005C168C"/>
    <w:rsid w:val="005C2441"/>
    <w:rsid w:val="005C2A65"/>
    <w:rsid w:val="005C2C68"/>
    <w:rsid w:val="005C3610"/>
    <w:rsid w:val="005C3E56"/>
    <w:rsid w:val="005C4D26"/>
    <w:rsid w:val="005C515E"/>
    <w:rsid w:val="005C68A0"/>
    <w:rsid w:val="005C7D6D"/>
    <w:rsid w:val="005C7FC4"/>
    <w:rsid w:val="005D0532"/>
    <w:rsid w:val="005D08AB"/>
    <w:rsid w:val="005D28B8"/>
    <w:rsid w:val="005D458D"/>
    <w:rsid w:val="005D4CD4"/>
    <w:rsid w:val="005D68EE"/>
    <w:rsid w:val="005E317D"/>
    <w:rsid w:val="005E3B6B"/>
    <w:rsid w:val="005E4502"/>
    <w:rsid w:val="005E5739"/>
    <w:rsid w:val="005E7240"/>
    <w:rsid w:val="005F028D"/>
    <w:rsid w:val="005F1444"/>
    <w:rsid w:val="005F46D2"/>
    <w:rsid w:val="005F66E5"/>
    <w:rsid w:val="00600A0C"/>
    <w:rsid w:val="00601AC2"/>
    <w:rsid w:val="006029FC"/>
    <w:rsid w:val="00603FD5"/>
    <w:rsid w:val="006130F0"/>
    <w:rsid w:val="00615632"/>
    <w:rsid w:val="0061591C"/>
    <w:rsid w:val="0062008A"/>
    <w:rsid w:val="00621047"/>
    <w:rsid w:val="00621C39"/>
    <w:rsid w:val="00621DDD"/>
    <w:rsid w:val="00624E10"/>
    <w:rsid w:val="0062506D"/>
    <w:rsid w:val="00627188"/>
    <w:rsid w:val="00630913"/>
    <w:rsid w:val="00630E56"/>
    <w:rsid w:val="006324DB"/>
    <w:rsid w:val="00633740"/>
    <w:rsid w:val="0063483D"/>
    <w:rsid w:val="00640125"/>
    <w:rsid w:val="00645C81"/>
    <w:rsid w:val="006461E7"/>
    <w:rsid w:val="00650D57"/>
    <w:rsid w:val="006532F6"/>
    <w:rsid w:val="00653EED"/>
    <w:rsid w:val="00654366"/>
    <w:rsid w:val="00655F40"/>
    <w:rsid w:val="00660034"/>
    <w:rsid w:val="006613AE"/>
    <w:rsid w:val="00664264"/>
    <w:rsid w:val="0066473F"/>
    <w:rsid w:val="0066695F"/>
    <w:rsid w:val="00666AFE"/>
    <w:rsid w:val="0066702B"/>
    <w:rsid w:val="006727BB"/>
    <w:rsid w:val="006730EE"/>
    <w:rsid w:val="00675203"/>
    <w:rsid w:val="00677864"/>
    <w:rsid w:val="00680804"/>
    <w:rsid w:val="00682D54"/>
    <w:rsid w:val="0068384B"/>
    <w:rsid w:val="00690362"/>
    <w:rsid w:val="0069036C"/>
    <w:rsid w:val="00691F9C"/>
    <w:rsid w:val="00692CCD"/>
    <w:rsid w:val="00692EA6"/>
    <w:rsid w:val="006933C3"/>
    <w:rsid w:val="006944F1"/>
    <w:rsid w:val="00696608"/>
    <w:rsid w:val="00696E1F"/>
    <w:rsid w:val="006A0A76"/>
    <w:rsid w:val="006A2EC1"/>
    <w:rsid w:val="006A3165"/>
    <w:rsid w:val="006A3667"/>
    <w:rsid w:val="006A45E7"/>
    <w:rsid w:val="006A46FB"/>
    <w:rsid w:val="006A4D17"/>
    <w:rsid w:val="006A529D"/>
    <w:rsid w:val="006A7042"/>
    <w:rsid w:val="006B134A"/>
    <w:rsid w:val="006B1D30"/>
    <w:rsid w:val="006B662D"/>
    <w:rsid w:val="006C164A"/>
    <w:rsid w:val="006C1A42"/>
    <w:rsid w:val="006C1B59"/>
    <w:rsid w:val="006C2615"/>
    <w:rsid w:val="006C5245"/>
    <w:rsid w:val="006D0D24"/>
    <w:rsid w:val="006D1288"/>
    <w:rsid w:val="006D1417"/>
    <w:rsid w:val="006D1506"/>
    <w:rsid w:val="006D168A"/>
    <w:rsid w:val="006D1F0B"/>
    <w:rsid w:val="006D2B66"/>
    <w:rsid w:val="006D45CA"/>
    <w:rsid w:val="006D4A66"/>
    <w:rsid w:val="006D4C03"/>
    <w:rsid w:val="006D5132"/>
    <w:rsid w:val="006D70DA"/>
    <w:rsid w:val="006E0967"/>
    <w:rsid w:val="006E0BCE"/>
    <w:rsid w:val="006E0EB1"/>
    <w:rsid w:val="006E1977"/>
    <w:rsid w:val="006E4B78"/>
    <w:rsid w:val="006E7AFC"/>
    <w:rsid w:val="006F3E44"/>
    <w:rsid w:val="006F6995"/>
    <w:rsid w:val="00703AC5"/>
    <w:rsid w:val="00703D20"/>
    <w:rsid w:val="00703F5E"/>
    <w:rsid w:val="00704250"/>
    <w:rsid w:val="007050B9"/>
    <w:rsid w:val="0070753B"/>
    <w:rsid w:val="00710005"/>
    <w:rsid w:val="00711C3A"/>
    <w:rsid w:val="007131B4"/>
    <w:rsid w:val="0071637A"/>
    <w:rsid w:val="00721CC1"/>
    <w:rsid w:val="00721EAE"/>
    <w:rsid w:val="00723823"/>
    <w:rsid w:val="00723908"/>
    <w:rsid w:val="00727751"/>
    <w:rsid w:val="00731155"/>
    <w:rsid w:val="00732548"/>
    <w:rsid w:val="00735B66"/>
    <w:rsid w:val="00735EAE"/>
    <w:rsid w:val="0073611E"/>
    <w:rsid w:val="0074265A"/>
    <w:rsid w:val="00742790"/>
    <w:rsid w:val="00742A98"/>
    <w:rsid w:val="00742E70"/>
    <w:rsid w:val="007449ED"/>
    <w:rsid w:val="00746338"/>
    <w:rsid w:val="0074797B"/>
    <w:rsid w:val="00747FD0"/>
    <w:rsid w:val="007507D3"/>
    <w:rsid w:val="00752687"/>
    <w:rsid w:val="00756FA4"/>
    <w:rsid w:val="007571B1"/>
    <w:rsid w:val="00760A86"/>
    <w:rsid w:val="007611A5"/>
    <w:rsid w:val="00762CA2"/>
    <w:rsid w:val="00763AA4"/>
    <w:rsid w:val="00763C26"/>
    <w:rsid w:val="00764E54"/>
    <w:rsid w:val="00765193"/>
    <w:rsid w:val="00765203"/>
    <w:rsid w:val="00765E02"/>
    <w:rsid w:val="00765F35"/>
    <w:rsid w:val="00767658"/>
    <w:rsid w:val="00767843"/>
    <w:rsid w:val="007712C3"/>
    <w:rsid w:val="00775994"/>
    <w:rsid w:val="00777003"/>
    <w:rsid w:val="00777530"/>
    <w:rsid w:val="00783279"/>
    <w:rsid w:val="0078393C"/>
    <w:rsid w:val="00785A1A"/>
    <w:rsid w:val="00790063"/>
    <w:rsid w:val="0079378A"/>
    <w:rsid w:val="007945ED"/>
    <w:rsid w:val="007A064E"/>
    <w:rsid w:val="007A0C1E"/>
    <w:rsid w:val="007A56CC"/>
    <w:rsid w:val="007A580C"/>
    <w:rsid w:val="007A5969"/>
    <w:rsid w:val="007A7CEF"/>
    <w:rsid w:val="007B2BC7"/>
    <w:rsid w:val="007B3079"/>
    <w:rsid w:val="007B30D2"/>
    <w:rsid w:val="007B31CD"/>
    <w:rsid w:val="007B386A"/>
    <w:rsid w:val="007B3B72"/>
    <w:rsid w:val="007B4FA4"/>
    <w:rsid w:val="007B53B3"/>
    <w:rsid w:val="007B6680"/>
    <w:rsid w:val="007B6CE7"/>
    <w:rsid w:val="007B7134"/>
    <w:rsid w:val="007C1994"/>
    <w:rsid w:val="007C1DA1"/>
    <w:rsid w:val="007C1F62"/>
    <w:rsid w:val="007C48EA"/>
    <w:rsid w:val="007C5F5F"/>
    <w:rsid w:val="007C6B40"/>
    <w:rsid w:val="007D004F"/>
    <w:rsid w:val="007D0CD2"/>
    <w:rsid w:val="007D549B"/>
    <w:rsid w:val="007D5C6B"/>
    <w:rsid w:val="007D6003"/>
    <w:rsid w:val="007D60A3"/>
    <w:rsid w:val="007E1CB6"/>
    <w:rsid w:val="007E3689"/>
    <w:rsid w:val="007E4D1C"/>
    <w:rsid w:val="007E4DB8"/>
    <w:rsid w:val="007E4EAE"/>
    <w:rsid w:val="007E60F8"/>
    <w:rsid w:val="007E708C"/>
    <w:rsid w:val="007F18B2"/>
    <w:rsid w:val="007F1AD4"/>
    <w:rsid w:val="007F50AE"/>
    <w:rsid w:val="007F58F3"/>
    <w:rsid w:val="007F64CA"/>
    <w:rsid w:val="00800C42"/>
    <w:rsid w:val="00805219"/>
    <w:rsid w:val="00806C8C"/>
    <w:rsid w:val="008078B5"/>
    <w:rsid w:val="008108FE"/>
    <w:rsid w:val="00810B06"/>
    <w:rsid w:val="008115A3"/>
    <w:rsid w:val="00812FC7"/>
    <w:rsid w:val="0081392E"/>
    <w:rsid w:val="00814AF6"/>
    <w:rsid w:val="0082013B"/>
    <w:rsid w:val="0082177F"/>
    <w:rsid w:val="00821D7C"/>
    <w:rsid w:val="00822987"/>
    <w:rsid w:val="00822AEC"/>
    <w:rsid w:val="00822D5F"/>
    <w:rsid w:val="008243EB"/>
    <w:rsid w:val="00824CA3"/>
    <w:rsid w:val="00826DB4"/>
    <w:rsid w:val="0083170D"/>
    <w:rsid w:val="00832469"/>
    <w:rsid w:val="008345BE"/>
    <w:rsid w:val="00835967"/>
    <w:rsid w:val="00836247"/>
    <w:rsid w:val="00837B5C"/>
    <w:rsid w:val="008404D1"/>
    <w:rsid w:val="00840EBB"/>
    <w:rsid w:val="008445E2"/>
    <w:rsid w:val="008445E5"/>
    <w:rsid w:val="00846488"/>
    <w:rsid w:val="008465AE"/>
    <w:rsid w:val="00846D45"/>
    <w:rsid w:val="008505CE"/>
    <w:rsid w:val="008506E7"/>
    <w:rsid w:val="00853980"/>
    <w:rsid w:val="00856982"/>
    <w:rsid w:val="00860779"/>
    <w:rsid w:val="00861E02"/>
    <w:rsid w:val="00863BE8"/>
    <w:rsid w:val="00864B7D"/>
    <w:rsid w:val="008675F3"/>
    <w:rsid w:val="00867FCD"/>
    <w:rsid w:val="00870041"/>
    <w:rsid w:val="00873310"/>
    <w:rsid w:val="00876552"/>
    <w:rsid w:val="008768D0"/>
    <w:rsid w:val="008776C1"/>
    <w:rsid w:val="00881CB7"/>
    <w:rsid w:val="00885995"/>
    <w:rsid w:val="00885E0C"/>
    <w:rsid w:val="00885EA4"/>
    <w:rsid w:val="008864B2"/>
    <w:rsid w:val="00890C17"/>
    <w:rsid w:val="0089284A"/>
    <w:rsid w:val="0089295B"/>
    <w:rsid w:val="00893AAB"/>
    <w:rsid w:val="00897FD0"/>
    <w:rsid w:val="008A21E5"/>
    <w:rsid w:val="008A3150"/>
    <w:rsid w:val="008A6437"/>
    <w:rsid w:val="008B045C"/>
    <w:rsid w:val="008B4427"/>
    <w:rsid w:val="008B4D47"/>
    <w:rsid w:val="008B5F0C"/>
    <w:rsid w:val="008C0705"/>
    <w:rsid w:val="008C1CEC"/>
    <w:rsid w:val="008C2C20"/>
    <w:rsid w:val="008C3C76"/>
    <w:rsid w:val="008C6DEF"/>
    <w:rsid w:val="008C7B93"/>
    <w:rsid w:val="008C7C7D"/>
    <w:rsid w:val="008C7D3A"/>
    <w:rsid w:val="008C7F8A"/>
    <w:rsid w:val="008D0A12"/>
    <w:rsid w:val="008D1B9C"/>
    <w:rsid w:val="008D1E99"/>
    <w:rsid w:val="008D4DA6"/>
    <w:rsid w:val="008D7494"/>
    <w:rsid w:val="008E1CD7"/>
    <w:rsid w:val="008E23EB"/>
    <w:rsid w:val="008F052E"/>
    <w:rsid w:val="008F1645"/>
    <w:rsid w:val="008F2152"/>
    <w:rsid w:val="008F6A82"/>
    <w:rsid w:val="00900513"/>
    <w:rsid w:val="00902A59"/>
    <w:rsid w:val="0090643F"/>
    <w:rsid w:val="009064D1"/>
    <w:rsid w:val="00910488"/>
    <w:rsid w:val="009110DB"/>
    <w:rsid w:val="0091188F"/>
    <w:rsid w:val="00912B91"/>
    <w:rsid w:val="00912E7C"/>
    <w:rsid w:val="009133E7"/>
    <w:rsid w:val="009142E9"/>
    <w:rsid w:val="0091719A"/>
    <w:rsid w:val="0091733F"/>
    <w:rsid w:val="00920C7E"/>
    <w:rsid w:val="009212D6"/>
    <w:rsid w:val="00930DEB"/>
    <w:rsid w:val="00931B42"/>
    <w:rsid w:val="00933494"/>
    <w:rsid w:val="009364EC"/>
    <w:rsid w:val="009365E3"/>
    <w:rsid w:val="00937805"/>
    <w:rsid w:val="0094104E"/>
    <w:rsid w:val="00941B94"/>
    <w:rsid w:val="00945B3E"/>
    <w:rsid w:val="00946E6D"/>
    <w:rsid w:val="00947381"/>
    <w:rsid w:val="009478DD"/>
    <w:rsid w:val="0095062E"/>
    <w:rsid w:val="009510BF"/>
    <w:rsid w:val="00951C61"/>
    <w:rsid w:val="00951C8A"/>
    <w:rsid w:val="00952515"/>
    <w:rsid w:val="00955AC3"/>
    <w:rsid w:val="00960355"/>
    <w:rsid w:val="009609B0"/>
    <w:rsid w:val="009625F2"/>
    <w:rsid w:val="00966489"/>
    <w:rsid w:val="009700D4"/>
    <w:rsid w:val="00974523"/>
    <w:rsid w:val="0098171D"/>
    <w:rsid w:val="00981ABA"/>
    <w:rsid w:val="00981D99"/>
    <w:rsid w:val="00981EEE"/>
    <w:rsid w:val="0098221D"/>
    <w:rsid w:val="00982CC6"/>
    <w:rsid w:val="009855C6"/>
    <w:rsid w:val="00986878"/>
    <w:rsid w:val="009878A9"/>
    <w:rsid w:val="009974B7"/>
    <w:rsid w:val="009A0361"/>
    <w:rsid w:val="009A4951"/>
    <w:rsid w:val="009A7EF6"/>
    <w:rsid w:val="009B0173"/>
    <w:rsid w:val="009B0727"/>
    <w:rsid w:val="009B07AA"/>
    <w:rsid w:val="009B09FD"/>
    <w:rsid w:val="009B13F6"/>
    <w:rsid w:val="009B1F9F"/>
    <w:rsid w:val="009B23FA"/>
    <w:rsid w:val="009B2527"/>
    <w:rsid w:val="009B36BA"/>
    <w:rsid w:val="009B3CC2"/>
    <w:rsid w:val="009B50AF"/>
    <w:rsid w:val="009B67AE"/>
    <w:rsid w:val="009C3295"/>
    <w:rsid w:val="009D0230"/>
    <w:rsid w:val="009D12DD"/>
    <w:rsid w:val="009D1D0C"/>
    <w:rsid w:val="009D2BBF"/>
    <w:rsid w:val="009D6B22"/>
    <w:rsid w:val="009D7E35"/>
    <w:rsid w:val="009D7E89"/>
    <w:rsid w:val="009E1AB3"/>
    <w:rsid w:val="009E3094"/>
    <w:rsid w:val="009E3AEA"/>
    <w:rsid w:val="009E5141"/>
    <w:rsid w:val="009E51F9"/>
    <w:rsid w:val="009E6446"/>
    <w:rsid w:val="009E686A"/>
    <w:rsid w:val="009E6976"/>
    <w:rsid w:val="009E6C03"/>
    <w:rsid w:val="009E78DE"/>
    <w:rsid w:val="009E7B61"/>
    <w:rsid w:val="009F0C4D"/>
    <w:rsid w:val="009F29FB"/>
    <w:rsid w:val="009F47EC"/>
    <w:rsid w:val="009F4E34"/>
    <w:rsid w:val="009F6408"/>
    <w:rsid w:val="009F6D89"/>
    <w:rsid w:val="00A000C8"/>
    <w:rsid w:val="00A035FB"/>
    <w:rsid w:val="00A04B80"/>
    <w:rsid w:val="00A0534B"/>
    <w:rsid w:val="00A07605"/>
    <w:rsid w:val="00A10204"/>
    <w:rsid w:val="00A1100F"/>
    <w:rsid w:val="00A11C2A"/>
    <w:rsid w:val="00A123E2"/>
    <w:rsid w:val="00A14A83"/>
    <w:rsid w:val="00A1621F"/>
    <w:rsid w:val="00A219D8"/>
    <w:rsid w:val="00A24E86"/>
    <w:rsid w:val="00A27156"/>
    <w:rsid w:val="00A33150"/>
    <w:rsid w:val="00A33773"/>
    <w:rsid w:val="00A33FBB"/>
    <w:rsid w:val="00A415D4"/>
    <w:rsid w:val="00A4182E"/>
    <w:rsid w:val="00A43240"/>
    <w:rsid w:val="00A43873"/>
    <w:rsid w:val="00A453CF"/>
    <w:rsid w:val="00A5002A"/>
    <w:rsid w:val="00A50AF7"/>
    <w:rsid w:val="00A51D14"/>
    <w:rsid w:val="00A52FCE"/>
    <w:rsid w:val="00A541C3"/>
    <w:rsid w:val="00A567DE"/>
    <w:rsid w:val="00A6145C"/>
    <w:rsid w:val="00A626A3"/>
    <w:rsid w:val="00A64DA0"/>
    <w:rsid w:val="00A66629"/>
    <w:rsid w:val="00A678BE"/>
    <w:rsid w:val="00A67E15"/>
    <w:rsid w:val="00A7281D"/>
    <w:rsid w:val="00A72F65"/>
    <w:rsid w:val="00A73EAD"/>
    <w:rsid w:val="00A74081"/>
    <w:rsid w:val="00A76009"/>
    <w:rsid w:val="00A77515"/>
    <w:rsid w:val="00A84499"/>
    <w:rsid w:val="00A85A0D"/>
    <w:rsid w:val="00A91C70"/>
    <w:rsid w:val="00A91EFB"/>
    <w:rsid w:val="00A9282B"/>
    <w:rsid w:val="00A93AAA"/>
    <w:rsid w:val="00A94748"/>
    <w:rsid w:val="00A94FC8"/>
    <w:rsid w:val="00A96198"/>
    <w:rsid w:val="00AA019B"/>
    <w:rsid w:val="00AA0A9E"/>
    <w:rsid w:val="00AA0C29"/>
    <w:rsid w:val="00AA12F1"/>
    <w:rsid w:val="00AA1E6C"/>
    <w:rsid w:val="00AA291C"/>
    <w:rsid w:val="00AA2F99"/>
    <w:rsid w:val="00AA53AF"/>
    <w:rsid w:val="00AA53D0"/>
    <w:rsid w:val="00AA5C57"/>
    <w:rsid w:val="00AA6711"/>
    <w:rsid w:val="00AB2D01"/>
    <w:rsid w:val="00AB53E5"/>
    <w:rsid w:val="00AB5467"/>
    <w:rsid w:val="00AB6004"/>
    <w:rsid w:val="00AB64AD"/>
    <w:rsid w:val="00AB7D89"/>
    <w:rsid w:val="00AC0267"/>
    <w:rsid w:val="00AC47E9"/>
    <w:rsid w:val="00AC5765"/>
    <w:rsid w:val="00AC5E16"/>
    <w:rsid w:val="00AC6EE9"/>
    <w:rsid w:val="00AC7663"/>
    <w:rsid w:val="00AD3731"/>
    <w:rsid w:val="00AD390B"/>
    <w:rsid w:val="00AD3914"/>
    <w:rsid w:val="00AD3BE3"/>
    <w:rsid w:val="00AD53DC"/>
    <w:rsid w:val="00AD7C40"/>
    <w:rsid w:val="00AE0FD5"/>
    <w:rsid w:val="00AE1776"/>
    <w:rsid w:val="00AE36B4"/>
    <w:rsid w:val="00AE7BF1"/>
    <w:rsid w:val="00AF18D9"/>
    <w:rsid w:val="00AF317A"/>
    <w:rsid w:val="00AF4592"/>
    <w:rsid w:val="00AF7941"/>
    <w:rsid w:val="00B00815"/>
    <w:rsid w:val="00B033F4"/>
    <w:rsid w:val="00B03ABE"/>
    <w:rsid w:val="00B05401"/>
    <w:rsid w:val="00B0623F"/>
    <w:rsid w:val="00B06B64"/>
    <w:rsid w:val="00B076DA"/>
    <w:rsid w:val="00B07811"/>
    <w:rsid w:val="00B112B3"/>
    <w:rsid w:val="00B12219"/>
    <w:rsid w:val="00B1252E"/>
    <w:rsid w:val="00B12C8D"/>
    <w:rsid w:val="00B1400F"/>
    <w:rsid w:val="00B21299"/>
    <w:rsid w:val="00B214B6"/>
    <w:rsid w:val="00B236EF"/>
    <w:rsid w:val="00B250D8"/>
    <w:rsid w:val="00B26747"/>
    <w:rsid w:val="00B26E06"/>
    <w:rsid w:val="00B3120F"/>
    <w:rsid w:val="00B317AC"/>
    <w:rsid w:val="00B352A3"/>
    <w:rsid w:val="00B353A8"/>
    <w:rsid w:val="00B35497"/>
    <w:rsid w:val="00B3740F"/>
    <w:rsid w:val="00B41BCB"/>
    <w:rsid w:val="00B43661"/>
    <w:rsid w:val="00B5066D"/>
    <w:rsid w:val="00B516C5"/>
    <w:rsid w:val="00B51B1D"/>
    <w:rsid w:val="00B5277D"/>
    <w:rsid w:val="00B53776"/>
    <w:rsid w:val="00B53AEE"/>
    <w:rsid w:val="00B606C4"/>
    <w:rsid w:val="00B60AE7"/>
    <w:rsid w:val="00B6500B"/>
    <w:rsid w:val="00B6665D"/>
    <w:rsid w:val="00B66D2A"/>
    <w:rsid w:val="00B70B7C"/>
    <w:rsid w:val="00B70BDA"/>
    <w:rsid w:val="00B71753"/>
    <w:rsid w:val="00B73B32"/>
    <w:rsid w:val="00B8035C"/>
    <w:rsid w:val="00B8134F"/>
    <w:rsid w:val="00B816FB"/>
    <w:rsid w:val="00B81B0E"/>
    <w:rsid w:val="00B86761"/>
    <w:rsid w:val="00B868E9"/>
    <w:rsid w:val="00B90E4E"/>
    <w:rsid w:val="00B9491E"/>
    <w:rsid w:val="00B950E7"/>
    <w:rsid w:val="00B958B7"/>
    <w:rsid w:val="00B97AA3"/>
    <w:rsid w:val="00BA1896"/>
    <w:rsid w:val="00BA253D"/>
    <w:rsid w:val="00BA5883"/>
    <w:rsid w:val="00BA5985"/>
    <w:rsid w:val="00BA61FC"/>
    <w:rsid w:val="00BA6A32"/>
    <w:rsid w:val="00BA7AF3"/>
    <w:rsid w:val="00BB3526"/>
    <w:rsid w:val="00BB38DB"/>
    <w:rsid w:val="00BB423B"/>
    <w:rsid w:val="00BB5036"/>
    <w:rsid w:val="00BB6993"/>
    <w:rsid w:val="00BB71EC"/>
    <w:rsid w:val="00BC02A5"/>
    <w:rsid w:val="00BC1587"/>
    <w:rsid w:val="00BC27C7"/>
    <w:rsid w:val="00BC73BD"/>
    <w:rsid w:val="00BC7C87"/>
    <w:rsid w:val="00BD6452"/>
    <w:rsid w:val="00BD7187"/>
    <w:rsid w:val="00BE126B"/>
    <w:rsid w:val="00BE1D52"/>
    <w:rsid w:val="00BE3E48"/>
    <w:rsid w:val="00BE4517"/>
    <w:rsid w:val="00BE50E4"/>
    <w:rsid w:val="00BE774A"/>
    <w:rsid w:val="00BF4158"/>
    <w:rsid w:val="00BF6DD1"/>
    <w:rsid w:val="00BF7ECC"/>
    <w:rsid w:val="00C00CC6"/>
    <w:rsid w:val="00C035FF"/>
    <w:rsid w:val="00C04237"/>
    <w:rsid w:val="00C044CD"/>
    <w:rsid w:val="00C06E8E"/>
    <w:rsid w:val="00C10F8D"/>
    <w:rsid w:val="00C12665"/>
    <w:rsid w:val="00C12DD8"/>
    <w:rsid w:val="00C13AD2"/>
    <w:rsid w:val="00C13C05"/>
    <w:rsid w:val="00C149E9"/>
    <w:rsid w:val="00C14A3D"/>
    <w:rsid w:val="00C17AD5"/>
    <w:rsid w:val="00C2091C"/>
    <w:rsid w:val="00C21297"/>
    <w:rsid w:val="00C21411"/>
    <w:rsid w:val="00C272D4"/>
    <w:rsid w:val="00C308BC"/>
    <w:rsid w:val="00C3473C"/>
    <w:rsid w:val="00C351F2"/>
    <w:rsid w:val="00C3591C"/>
    <w:rsid w:val="00C35C1E"/>
    <w:rsid w:val="00C4300E"/>
    <w:rsid w:val="00C44987"/>
    <w:rsid w:val="00C45A25"/>
    <w:rsid w:val="00C45ADF"/>
    <w:rsid w:val="00C46C18"/>
    <w:rsid w:val="00C47F19"/>
    <w:rsid w:val="00C51256"/>
    <w:rsid w:val="00C52541"/>
    <w:rsid w:val="00C52955"/>
    <w:rsid w:val="00C54DD7"/>
    <w:rsid w:val="00C573CF"/>
    <w:rsid w:val="00C602C1"/>
    <w:rsid w:val="00C61044"/>
    <w:rsid w:val="00C61069"/>
    <w:rsid w:val="00C611C0"/>
    <w:rsid w:val="00C62CF1"/>
    <w:rsid w:val="00C63184"/>
    <w:rsid w:val="00C6542B"/>
    <w:rsid w:val="00C66F44"/>
    <w:rsid w:val="00C673FA"/>
    <w:rsid w:val="00C678E7"/>
    <w:rsid w:val="00C67E18"/>
    <w:rsid w:val="00C700B5"/>
    <w:rsid w:val="00C7011B"/>
    <w:rsid w:val="00C71537"/>
    <w:rsid w:val="00C71801"/>
    <w:rsid w:val="00C71C5F"/>
    <w:rsid w:val="00C74788"/>
    <w:rsid w:val="00C74DB3"/>
    <w:rsid w:val="00C77232"/>
    <w:rsid w:val="00C80289"/>
    <w:rsid w:val="00C80F75"/>
    <w:rsid w:val="00C811E4"/>
    <w:rsid w:val="00C84AE6"/>
    <w:rsid w:val="00C878D5"/>
    <w:rsid w:val="00C87C5D"/>
    <w:rsid w:val="00C91CE8"/>
    <w:rsid w:val="00C93FF0"/>
    <w:rsid w:val="00C96B00"/>
    <w:rsid w:val="00CA0F58"/>
    <w:rsid w:val="00CA30A1"/>
    <w:rsid w:val="00CA3F0E"/>
    <w:rsid w:val="00CA401B"/>
    <w:rsid w:val="00CA5E18"/>
    <w:rsid w:val="00CA648C"/>
    <w:rsid w:val="00CA677E"/>
    <w:rsid w:val="00CB0CAC"/>
    <w:rsid w:val="00CB2AC1"/>
    <w:rsid w:val="00CB35E7"/>
    <w:rsid w:val="00CB3AE1"/>
    <w:rsid w:val="00CB5773"/>
    <w:rsid w:val="00CB581F"/>
    <w:rsid w:val="00CB6F2A"/>
    <w:rsid w:val="00CC1DE3"/>
    <w:rsid w:val="00CC27DD"/>
    <w:rsid w:val="00CC3360"/>
    <w:rsid w:val="00CC3378"/>
    <w:rsid w:val="00CC4F4D"/>
    <w:rsid w:val="00CC52B1"/>
    <w:rsid w:val="00CD1AE4"/>
    <w:rsid w:val="00CD215C"/>
    <w:rsid w:val="00CD5DFB"/>
    <w:rsid w:val="00CD5E6A"/>
    <w:rsid w:val="00CD6AD8"/>
    <w:rsid w:val="00CD7C13"/>
    <w:rsid w:val="00CE23B7"/>
    <w:rsid w:val="00CE28E6"/>
    <w:rsid w:val="00CE3B65"/>
    <w:rsid w:val="00CF3102"/>
    <w:rsid w:val="00CF52E8"/>
    <w:rsid w:val="00D00DDC"/>
    <w:rsid w:val="00D013E8"/>
    <w:rsid w:val="00D04CA0"/>
    <w:rsid w:val="00D07D77"/>
    <w:rsid w:val="00D12830"/>
    <w:rsid w:val="00D13960"/>
    <w:rsid w:val="00D15879"/>
    <w:rsid w:val="00D1630C"/>
    <w:rsid w:val="00D2001F"/>
    <w:rsid w:val="00D2525C"/>
    <w:rsid w:val="00D27909"/>
    <w:rsid w:val="00D3397F"/>
    <w:rsid w:val="00D350A0"/>
    <w:rsid w:val="00D354BA"/>
    <w:rsid w:val="00D3622B"/>
    <w:rsid w:val="00D3687E"/>
    <w:rsid w:val="00D36891"/>
    <w:rsid w:val="00D377E6"/>
    <w:rsid w:val="00D378AA"/>
    <w:rsid w:val="00D4024D"/>
    <w:rsid w:val="00D42B2B"/>
    <w:rsid w:val="00D43FBC"/>
    <w:rsid w:val="00D46129"/>
    <w:rsid w:val="00D54CB6"/>
    <w:rsid w:val="00D557C9"/>
    <w:rsid w:val="00D642F1"/>
    <w:rsid w:val="00D649E0"/>
    <w:rsid w:val="00D66CCE"/>
    <w:rsid w:val="00D74A6C"/>
    <w:rsid w:val="00D74F8C"/>
    <w:rsid w:val="00D751F0"/>
    <w:rsid w:val="00D7691C"/>
    <w:rsid w:val="00D777AF"/>
    <w:rsid w:val="00D77D4A"/>
    <w:rsid w:val="00D803DF"/>
    <w:rsid w:val="00D80C59"/>
    <w:rsid w:val="00D814E9"/>
    <w:rsid w:val="00D836A4"/>
    <w:rsid w:val="00D85373"/>
    <w:rsid w:val="00D86654"/>
    <w:rsid w:val="00D868B0"/>
    <w:rsid w:val="00D9135F"/>
    <w:rsid w:val="00D92107"/>
    <w:rsid w:val="00D96AE3"/>
    <w:rsid w:val="00DA2A57"/>
    <w:rsid w:val="00DA38E9"/>
    <w:rsid w:val="00DA44A5"/>
    <w:rsid w:val="00DA536F"/>
    <w:rsid w:val="00DA5765"/>
    <w:rsid w:val="00DA6C80"/>
    <w:rsid w:val="00DB032C"/>
    <w:rsid w:val="00DB1512"/>
    <w:rsid w:val="00DB1AB8"/>
    <w:rsid w:val="00DB3552"/>
    <w:rsid w:val="00DB39EB"/>
    <w:rsid w:val="00DB4C02"/>
    <w:rsid w:val="00DB57B9"/>
    <w:rsid w:val="00DB62F2"/>
    <w:rsid w:val="00DB6EA3"/>
    <w:rsid w:val="00DC0081"/>
    <w:rsid w:val="00DC1CB4"/>
    <w:rsid w:val="00DC2303"/>
    <w:rsid w:val="00DC2975"/>
    <w:rsid w:val="00DC2C00"/>
    <w:rsid w:val="00DC2F7B"/>
    <w:rsid w:val="00DC5524"/>
    <w:rsid w:val="00DC565C"/>
    <w:rsid w:val="00DD0ED1"/>
    <w:rsid w:val="00DD1E8F"/>
    <w:rsid w:val="00DD60BA"/>
    <w:rsid w:val="00DD6230"/>
    <w:rsid w:val="00DD6AC0"/>
    <w:rsid w:val="00DE3B28"/>
    <w:rsid w:val="00DE7AD7"/>
    <w:rsid w:val="00DE7CB6"/>
    <w:rsid w:val="00DF082F"/>
    <w:rsid w:val="00DF55CE"/>
    <w:rsid w:val="00DF6256"/>
    <w:rsid w:val="00DF6DDB"/>
    <w:rsid w:val="00DF6E5D"/>
    <w:rsid w:val="00E011D6"/>
    <w:rsid w:val="00E0172C"/>
    <w:rsid w:val="00E06776"/>
    <w:rsid w:val="00E07B30"/>
    <w:rsid w:val="00E107F4"/>
    <w:rsid w:val="00E10926"/>
    <w:rsid w:val="00E116BD"/>
    <w:rsid w:val="00E13AE7"/>
    <w:rsid w:val="00E1482E"/>
    <w:rsid w:val="00E14A40"/>
    <w:rsid w:val="00E16D9A"/>
    <w:rsid w:val="00E16DC8"/>
    <w:rsid w:val="00E17847"/>
    <w:rsid w:val="00E2118D"/>
    <w:rsid w:val="00E21F78"/>
    <w:rsid w:val="00E227FB"/>
    <w:rsid w:val="00E243DE"/>
    <w:rsid w:val="00E244B4"/>
    <w:rsid w:val="00E25692"/>
    <w:rsid w:val="00E25B95"/>
    <w:rsid w:val="00E2610A"/>
    <w:rsid w:val="00E30E75"/>
    <w:rsid w:val="00E31999"/>
    <w:rsid w:val="00E3296F"/>
    <w:rsid w:val="00E32CDA"/>
    <w:rsid w:val="00E32E15"/>
    <w:rsid w:val="00E365BC"/>
    <w:rsid w:val="00E36961"/>
    <w:rsid w:val="00E37F48"/>
    <w:rsid w:val="00E40120"/>
    <w:rsid w:val="00E4249E"/>
    <w:rsid w:val="00E42EBA"/>
    <w:rsid w:val="00E44CEB"/>
    <w:rsid w:val="00E44FCA"/>
    <w:rsid w:val="00E4626D"/>
    <w:rsid w:val="00E468C3"/>
    <w:rsid w:val="00E46AB2"/>
    <w:rsid w:val="00E53BC0"/>
    <w:rsid w:val="00E53D25"/>
    <w:rsid w:val="00E54D6A"/>
    <w:rsid w:val="00E55478"/>
    <w:rsid w:val="00E563D6"/>
    <w:rsid w:val="00E56533"/>
    <w:rsid w:val="00E56A8D"/>
    <w:rsid w:val="00E6042D"/>
    <w:rsid w:val="00E61FFF"/>
    <w:rsid w:val="00E649BD"/>
    <w:rsid w:val="00E6591A"/>
    <w:rsid w:val="00E66964"/>
    <w:rsid w:val="00E67C83"/>
    <w:rsid w:val="00E70038"/>
    <w:rsid w:val="00E74B88"/>
    <w:rsid w:val="00E75B11"/>
    <w:rsid w:val="00E76CAD"/>
    <w:rsid w:val="00E76FAA"/>
    <w:rsid w:val="00E81BAE"/>
    <w:rsid w:val="00E81FA5"/>
    <w:rsid w:val="00E83500"/>
    <w:rsid w:val="00E83708"/>
    <w:rsid w:val="00E83EF4"/>
    <w:rsid w:val="00E85619"/>
    <w:rsid w:val="00E908E0"/>
    <w:rsid w:val="00E91820"/>
    <w:rsid w:val="00E91BE2"/>
    <w:rsid w:val="00E95119"/>
    <w:rsid w:val="00E964C7"/>
    <w:rsid w:val="00E97A3A"/>
    <w:rsid w:val="00EA2628"/>
    <w:rsid w:val="00EA2687"/>
    <w:rsid w:val="00EA2ED5"/>
    <w:rsid w:val="00EA4653"/>
    <w:rsid w:val="00EB00EB"/>
    <w:rsid w:val="00EB32AB"/>
    <w:rsid w:val="00EB3442"/>
    <w:rsid w:val="00EC14C2"/>
    <w:rsid w:val="00EC1F61"/>
    <w:rsid w:val="00EC3C7E"/>
    <w:rsid w:val="00EC5E6F"/>
    <w:rsid w:val="00EC5E70"/>
    <w:rsid w:val="00ED160D"/>
    <w:rsid w:val="00ED1A29"/>
    <w:rsid w:val="00ED1CB0"/>
    <w:rsid w:val="00ED2702"/>
    <w:rsid w:val="00ED35B8"/>
    <w:rsid w:val="00ED4720"/>
    <w:rsid w:val="00ED5EAD"/>
    <w:rsid w:val="00ED610C"/>
    <w:rsid w:val="00ED7FDD"/>
    <w:rsid w:val="00EE22FA"/>
    <w:rsid w:val="00EE4B28"/>
    <w:rsid w:val="00EE511E"/>
    <w:rsid w:val="00EF10C1"/>
    <w:rsid w:val="00EF2D35"/>
    <w:rsid w:val="00EF70FD"/>
    <w:rsid w:val="00EF7FD2"/>
    <w:rsid w:val="00F00624"/>
    <w:rsid w:val="00F0107E"/>
    <w:rsid w:val="00F034E2"/>
    <w:rsid w:val="00F04244"/>
    <w:rsid w:val="00F05353"/>
    <w:rsid w:val="00F07338"/>
    <w:rsid w:val="00F0768E"/>
    <w:rsid w:val="00F139D1"/>
    <w:rsid w:val="00F13E3B"/>
    <w:rsid w:val="00F14574"/>
    <w:rsid w:val="00F151D9"/>
    <w:rsid w:val="00F15AC3"/>
    <w:rsid w:val="00F16667"/>
    <w:rsid w:val="00F16EA5"/>
    <w:rsid w:val="00F16FB3"/>
    <w:rsid w:val="00F178F6"/>
    <w:rsid w:val="00F17F58"/>
    <w:rsid w:val="00F17FE6"/>
    <w:rsid w:val="00F20A08"/>
    <w:rsid w:val="00F21449"/>
    <w:rsid w:val="00F25C8F"/>
    <w:rsid w:val="00F26B25"/>
    <w:rsid w:val="00F31FEA"/>
    <w:rsid w:val="00F32857"/>
    <w:rsid w:val="00F34DC2"/>
    <w:rsid w:val="00F364F0"/>
    <w:rsid w:val="00F365CE"/>
    <w:rsid w:val="00F36EA4"/>
    <w:rsid w:val="00F374F1"/>
    <w:rsid w:val="00F37936"/>
    <w:rsid w:val="00F409BE"/>
    <w:rsid w:val="00F40DD1"/>
    <w:rsid w:val="00F41432"/>
    <w:rsid w:val="00F41724"/>
    <w:rsid w:val="00F41F9F"/>
    <w:rsid w:val="00F42F07"/>
    <w:rsid w:val="00F43432"/>
    <w:rsid w:val="00F43548"/>
    <w:rsid w:val="00F45C7C"/>
    <w:rsid w:val="00F509A5"/>
    <w:rsid w:val="00F51CE1"/>
    <w:rsid w:val="00F52E02"/>
    <w:rsid w:val="00F53BEE"/>
    <w:rsid w:val="00F5424D"/>
    <w:rsid w:val="00F555C9"/>
    <w:rsid w:val="00F56218"/>
    <w:rsid w:val="00F62391"/>
    <w:rsid w:val="00F7008F"/>
    <w:rsid w:val="00F7163E"/>
    <w:rsid w:val="00F721AD"/>
    <w:rsid w:val="00F74415"/>
    <w:rsid w:val="00F76686"/>
    <w:rsid w:val="00F7705E"/>
    <w:rsid w:val="00F80FA7"/>
    <w:rsid w:val="00F818B1"/>
    <w:rsid w:val="00F82C0E"/>
    <w:rsid w:val="00F8308E"/>
    <w:rsid w:val="00F8536B"/>
    <w:rsid w:val="00F866DB"/>
    <w:rsid w:val="00F91223"/>
    <w:rsid w:val="00F92BE1"/>
    <w:rsid w:val="00F93B6F"/>
    <w:rsid w:val="00F955BF"/>
    <w:rsid w:val="00F95CCD"/>
    <w:rsid w:val="00F97D19"/>
    <w:rsid w:val="00F97EF1"/>
    <w:rsid w:val="00FA28FA"/>
    <w:rsid w:val="00FA410D"/>
    <w:rsid w:val="00FA51AC"/>
    <w:rsid w:val="00FA6091"/>
    <w:rsid w:val="00FA6C8A"/>
    <w:rsid w:val="00FB2051"/>
    <w:rsid w:val="00FB20C5"/>
    <w:rsid w:val="00FB2A23"/>
    <w:rsid w:val="00FB37F3"/>
    <w:rsid w:val="00FB48D7"/>
    <w:rsid w:val="00FB4FC0"/>
    <w:rsid w:val="00FB5DB2"/>
    <w:rsid w:val="00FB5DD8"/>
    <w:rsid w:val="00FB6A06"/>
    <w:rsid w:val="00FB7251"/>
    <w:rsid w:val="00FB76D0"/>
    <w:rsid w:val="00FC0311"/>
    <w:rsid w:val="00FC0A8E"/>
    <w:rsid w:val="00FC16E5"/>
    <w:rsid w:val="00FC38EC"/>
    <w:rsid w:val="00FC5852"/>
    <w:rsid w:val="00FC6535"/>
    <w:rsid w:val="00FC6B13"/>
    <w:rsid w:val="00FC7B08"/>
    <w:rsid w:val="00FD34F8"/>
    <w:rsid w:val="00FD463E"/>
    <w:rsid w:val="00FD62D5"/>
    <w:rsid w:val="00FE232C"/>
    <w:rsid w:val="00FE2CB8"/>
    <w:rsid w:val="00FE37A3"/>
    <w:rsid w:val="00FE3A77"/>
    <w:rsid w:val="00FE7B54"/>
    <w:rsid w:val="00FE7CD6"/>
    <w:rsid w:val="00FF2E72"/>
    <w:rsid w:val="00FF3194"/>
    <w:rsid w:val="00FF41B8"/>
    <w:rsid w:val="00FF4B52"/>
    <w:rsid w:val="01188A23"/>
    <w:rsid w:val="03700AB4"/>
    <w:rsid w:val="03A02FF1"/>
    <w:rsid w:val="07BD1A5B"/>
    <w:rsid w:val="0A59B853"/>
    <w:rsid w:val="0A9CC243"/>
    <w:rsid w:val="0E2C5BDF"/>
    <w:rsid w:val="128B9930"/>
    <w:rsid w:val="16376DC4"/>
    <w:rsid w:val="20E3305C"/>
    <w:rsid w:val="216F7159"/>
    <w:rsid w:val="23AA4D84"/>
    <w:rsid w:val="24939123"/>
    <w:rsid w:val="27F14F75"/>
    <w:rsid w:val="2943E199"/>
    <w:rsid w:val="2DF315DB"/>
    <w:rsid w:val="2EC67538"/>
    <w:rsid w:val="2FF1B248"/>
    <w:rsid w:val="340E9CB2"/>
    <w:rsid w:val="355BF602"/>
    <w:rsid w:val="36F7C663"/>
    <w:rsid w:val="383212E1"/>
    <w:rsid w:val="38F823E4"/>
    <w:rsid w:val="38F87F50"/>
    <w:rsid w:val="397F6C31"/>
    <w:rsid w:val="3A3B2F22"/>
    <w:rsid w:val="3B96B112"/>
    <w:rsid w:val="3BF372A3"/>
    <w:rsid w:val="3C696BAB"/>
    <w:rsid w:val="3FB6F689"/>
    <w:rsid w:val="3FEEADB5"/>
    <w:rsid w:val="414A381B"/>
    <w:rsid w:val="4288F01B"/>
    <w:rsid w:val="43B76DAA"/>
    <w:rsid w:val="44C84F0C"/>
    <w:rsid w:val="45321D85"/>
    <w:rsid w:val="45363781"/>
    <w:rsid w:val="4AAD89C4"/>
    <w:rsid w:val="4D02927C"/>
    <w:rsid w:val="4DCC6441"/>
    <w:rsid w:val="4E5DEA8B"/>
    <w:rsid w:val="5175FF60"/>
    <w:rsid w:val="518F6709"/>
    <w:rsid w:val="531F4EA7"/>
    <w:rsid w:val="54E16C7C"/>
    <w:rsid w:val="55CE800E"/>
    <w:rsid w:val="565BB26D"/>
    <w:rsid w:val="5BB63A55"/>
    <w:rsid w:val="5C1B92F7"/>
    <w:rsid w:val="5C502744"/>
    <w:rsid w:val="5C6A2002"/>
    <w:rsid w:val="5C885B9E"/>
    <w:rsid w:val="5F88158D"/>
    <w:rsid w:val="60A4B056"/>
    <w:rsid w:val="629BEDCA"/>
    <w:rsid w:val="65D0EE88"/>
    <w:rsid w:val="678A0E7F"/>
    <w:rsid w:val="686B30EE"/>
    <w:rsid w:val="6B3A611E"/>
    <w:rsid w:val="6B8BE3A1"/>
    <w:rsid w:val="6BA2D1B0"/>
    <w:rsid w:val="6DC2D810"/>
    <w:rsid w:val="6F5EA871"/>
    <w:rsid w:val="705D1A76"/>
    <w:rsid w:val="71DE0BC8"/>
    <w:rsid w:val="71F8EAD7"/>
    <w:rsid w:val="725E9207"/>
    <w:rsid w:val="73613883"/>
    <w:rsid w:val="73C6D1A8"/>
    <w:rsid w:val="73CCECA4"/>
    <w:rsid w:val="73FA6268"/>
    <w:rsid w:val="750A3A6D"/>
    <w:rsid w:val="7732032A"/>
    <w:rsid w:val="7769BA56"/>
    <w:rsid w:val="77E22237"/>
    <w:rsid w:val="7939B21B"/>
    <w:rsid w:val="7E0038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4673"/>
    <o:shapelayout v:ext="edit">
      <o:idmap v:ext="edit" data="1"/>
    </o:shapelayout>
  </w:shapeDefaults>
  <w:decimalSymbol w:val=","/>
  <w:listSeparator w:val=";"/>
  <w14:docId w14:val="2177AE76"/>
  <w15:docId w15:val="{43ED8846-F70A-4AAD-B502-D5DD49A15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A6CFA"/>
    <w:rPr>
      <w:rFonts w:ascii="Titillium Web" w:hAnsi="Titillium Web"/>
      <w:color w:val="000000" w:themeColor="text1"/>
      <w:sz w:val="21"/>
      <w:szCs w:val="24"/>
      <w:lang w:eastAsia="en-US"/>
    </w:rPr>
  </w:style>
  <w:style w:type="paragraph" w:styleId="Kop1">
    <w:name w:val="heading 1"/>
    <w:basedOn w:val="Standaard"/>
    <w:next w:val="Standaard"/>
    <w:link w:val="Kop1Char"/>
    <w:qFormat/>
    <w:rsid w:val="00CD215C"/>
    <w:pPr>
      <w:keepNext/>
      <w:keepLines/>
      <w:spacing w:line="660" w:lineRule="exact"/>
      <w:outlineLvl w:val="0"/>
    </w:pPr>
    <w:rPr>
      <w:rFonts w:ascii="Titillium Bd" w:eastAsiaTheme="majorEastAsia" w:hAnsi="Titillium Bd" w:cstheme="majorBidi"/>
      <w:b/>
      <w:bCs/>
      <w:caps/>
      <w:color w:val="004A93"/>
      <w:sz w:val="5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E151C"/>
    <w:pPr>
      <w:ind w:left="720"/>
      <w:contextualSpacing/>
    </w:pPr>
  </w:style>
  <w:style w:type="paragraph" w:styleId="Ballontekst">
    <w:name w:val="Balloon Text"/>
    <w:basedOn w:val="Standaard"/>
    <w:link w:val="BallontekstChar"/>
    <w:rsid w:val="00FE7CD6"/>
    <w:rPr>
      <w:rFonts w:ascii="Tahoma" w:hAnsi="Tahoma" w:cs="Tahoma"/>
      <w:sz w:val="16"/>
      <w:szCs w:val="16"/>
    </w:rPr>
  </w:style>
  <w:style w:type="character" w:customStyle="1" w:styleId="BallontekstChar">
    <w:name w:val="Ballontekst Char"/>
    <w:basedOn w:val="Standaardalinea-lettertype"/>
    <w:link w:val="Ballontekst"/>
    <w:rsid w:val="00FE7CD6"/>
    <w:rPr>
      <w:rFonts w:ascii="Tahoma" w:hAnsi="Tahoma" w:cs="Tahoma"/>
      <w:sz w:val="16"/>
      <w:szCs w:val="16"/>
      <w:lang w:eastAsia="en-US"/>
    </w:rPr>
  </w:style>
  <w:style w:type="paragraph" w:styleId="Koptekst">
    <w:name w:val="header"/>
    <w:basedOn w:val="Standaard"/>
    <w:link w:val="KoptekstChar"/>
    <w:rsid w:val="00CD1AE4"/>
    <w:pPr>
      <w:tabs>
        <w:tab w:val="center" w:pos="4536"/>
        <w:tab w:val="right" w:pos="9072"/>
      </w:tabs>
    </w:pPr>
  </w:style>
  <w:style w:type="character" w:customStyle="1" w:styleId="KoptekstChar">
    <w:name w:val="Koptekst Char"/>
    <w:basedOn w:val="Standaardalinea-lettertype"/>
    <w:link w:val="Koptekst"/>
    <w:rsid w:val="00CD1AE4"/>
    <w:rPr>
      <w:sz w:val="24"/>
      <w:szCs w:val="24"/>
      <w:lang w:eastAsia="en-US"/>
    </w:rPr>
  </w:style>
  <w:style w:type="paragraph" w:styleId="Voettekst">
    <w:name w:val="footer"/>
    <w:basedOn w:val="Standaard"/>
    <w:link w:val="VoettekstChar"/>
    <w:uiPriority w:val="99"/>
    <w:rsid w:val="00CD1AE4"/>
    <w:pPr>
      <w:tabs>
        <w:tab w:val="center" w:pos="4536"/>
        <w:tab w:val="right" w:pos="9072"/>
      </w:tabs>
    </w:pPr>
  </w:style>
  <w:style w:type="character" w:customStyle="1" w:styleId="VoettekstChar">
    <w:name w:val="Voettekst Char"/>
    <w:basedOn w:val="Standaardalinea-lettertype"/>
    <w:link w:val="Voettekst"/>
    <w:uiPriority w:val="99"/>
    <w:rsid w:val="00CD1AE4"/>
    <w:rPr>
      <w:sz w:val="24"/>
      <w:szCs w:val="24"/>
      <w:lang w:eastAsia="en-US"/>
    </w:rPr>
  </w:style>
  <w:style w:type="character" w:styleId="Verwijzingopmerking">
    <w:name w:val="annotation reference"/>
    <w:basedOn w:val="Standaardalinea-lettertype"/>
    <w:rsid w:val="001E0381"/>
    <w:rPr>
      <w:sz w:val="16"/>
      <w:szCs w:val="16"/>
    </w:rPr>
  </w:style>
  <w:style w:type="paragraph" w:styleId="Tekstopmerking">
    <w:name w:val="annotation text"/>
    <w:basedOn w:val="Standaard"/>
    <w:link w:val="TekstopmerkingChar"/>
    <w:rsid w:val="001E0381"/>
    <w:rPr>
      <w:sz w:val="20"/>
      <w:szCs w:val="20"/>
    </w:rPr>
  </w:style>
  <w:style w:type="character" w:customStyle="1" w:styleId="TekstopmerkingChar">
    <w:name w:val="Tekst opmerking Char"/>
    <w:basedOn w:val="Standaardalinea-lettertype"/>
    <w:link w:val="Tekstopmerking"/>
    <w:rsid w:val="001E0381"/>
    <w:rPr>
      <w:lang w:eastAsia="en-US"/>
    </w:rPr>
  </w:style>
  <w:style w:type="paragraph" w:styleId="Onderwerpvanopmerking">
    <w:name w:val="annotation subject"/>
    <w:basedOn w:val="Tekstopmerking"/>
    <w:next w:val="Tekstopmerking"/>
    <w:link w:val="OnderwerpvanopmerkingChar"/>
    <w:rsid w:val="001E0381"/>
    <w:rPr>
      <w:b/>
      <w:bCs/>
    </w:rPr>
  </w:style>
  <w:style w:type="character" w:customStyle="1" w:styleId="OnderwerpvanopmerkingChar">
    <w:name w:val="Onderwerp van opmerking Char"/>
    <w:basedOn w:val="TekstopmerkingChar"/>
    <w:link w:val="Onderwerpvanopmerking"/>
    <w:rsid w:val="001E0381"/>
    <w:rPr>
      <w:b/>
      <w:bCs/>
      <w:lang w:eastAsia="en-US"/>
    </w:rPr>
  </w:style>
  <w:style w:type="table" w:styleId="Tabelraster">
    <w:name w:val="Table Grid"/>
    <w:basedOn w:val="Standaardtabel"/>
    <w:rsid w:val="000C7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CD215C"/>
    <w:rPr>
      <w:rFonts w:ascii="Titillium Bd" w:eastAsiaTheme="majorEastAsia" w:hAnsi="Titillium Bd" w:cstheme="majorBidi"/>
      <w:b/>
      <w:bCs/>
      <w:caps/>
      <w:color w:val="004A93"/>
      <w:sz w:val="52"/>
      <w:szCs w:val="28"/>
      <w:lang w:eastAsia="en-US"/>
    </w:rPr>
  </w:style>
  <w:style w:type="character" w:styleId="Hyperlink">
    <w:name w:val="Hyperlink"/>
    <w:basedOn w:val="Standaardalinea-lettertype"/>
    <w:uiPriority w:val="99"/>
    <w:rsid w:val="00D013E8"/>
    <w:rPr>
      <w:color w:val="0000FF" w:themeColor="hyperlink"/>
      <w:u w:val="single"/>
    </w:rPr>
  </w:style>
  <w:style w:type="paragraph" w:customStyle="1" w:styleId="Default">
    <w:name w:val="Default"/>
    <w:rsid w:val="00540D78"/>
    <w:pPr>
      <w:autoSpaceDE w:val="0"/>
      <w:autoSpaceDN w:val="0"/>
      <w:adjustRightInd w:val="0"/>
    </w:pPr>
    <w:rPr>
      <w:rFonts w:ascii="Verdana" w:hAnsi="Verdana" w:cs="Verdana"/>
      <w:color w:val="000000"/>
      <w:sz w:val="24"/>
      <w:szCs w:val="24"/>
    </w:rPr>
  </w:style>
  <w:style w:type="paragraph" w:styleId="Normaalweb">
    <w:name w:val="Normal (Web)"/>
    <w:basedOn w:val="Standaard"/>
    <w:uiPriority w:val="99"/>
    <w:unhideWhenUsed/>
    <w:rsid w:val="00E25692"/>
    <w:pPr>
      <w:spacing w:before="100" w:beforeAutospacing="1" w:after="100" w:afterAutospacing="1"/>
    </w:pPr>
    <w:rPr>
      <w:lang w:eastAsia="nl-NL"/>
    </w:rPr>
  </w:style>
  <w:style w:type="character" w:customStyle="1" w:styleId="ilfuvd">
    <w:name w:val="ilfuvd"/>
    <w:basedOn w:val="Standaardalinea-lettertype"/>
    <w:rsid w:val="00B03ABE"/>
  </w:style>
  <w:style w:type="paragraph" w:styleId="Revisie">
    <w:name w:val="Revision"/>
    <w:hidden/>
    <w:uiPriority w:val="99"/>
    <w:semiHidden/>
    <w:rsid w:val="00C308BC"/>
    <w:rPr>
      <w:sz w:val="24"/>
      <w:szCs w:val="24"/>
      <w:lang w:eastAsia="en-US"/>
    </w:rPr>
  </w:style>
  <w:style w:type="character" w:styleId="Nadruk">
    <w:name w:val="Emphasis"/>
    <w:basedOn w:val="Standaardalinea-lettertype"/>
    <w:qFormat/>
    <w:rsid w:val="00DB62F2"/>
    <w:rPr>
      <w:rFonts w:ascii="Titillium Web" w:hAnsi="Titillium Web"/>
      <w:i w:val="0"/>
      <w:iCs/>
      <w:caps/>
      <w:smallCaps w:val="0"/>
      <w:color w:val="004A93"/>
      <w:sz w:val="20"/>
    </w:rPr>
  </w:style>
  <w:style w:type="paragraph" w:styleId="Ondertitel">
    <w:name w:val="Subtitle"/>
    <w:basedOn w:val="Standaard"/>
    <w:next w:val="Standaard"/>
    <w:link w:val="OndertitelChar"/>
    <w:qFormat/>
    <w:rsid w:val="00F955BF"/>
    <w:pPr>
      <w:numPr>
        <w:ilvl w:val="1"/>
      </w:numPr>
      <w:spacing w:after="160"/>
    </w:pPr>
    <w:rPr>
      <w:rFonts w:eastAsiaTheme="minorEastAsia" w:cstheme="minorBidi"/>
      <w:b/>
      <w:caps/>
      <w:color w:val="E68000"/>
      <w:spacing w:val="15"/>
      <w:sz w:val="24"/>
      <w:szCs w:val="22"/>
    </w:rPr>
  </w:style>
  <w:style w:type="character" w:customStyle="1" w:styleId="OndertitelChar">
    <w:name w:val="Ondertitel Char"/>
    <w:basedOn w:val="Standaardalinea-lettertype"/>
    <w:link w:val="Ondertitel"/>
    <w:rsid w:val="00F955BF"/>
    <w:rPr>
      <w:rFonts w:ascii="Titillium Web" w:eastAsiaTheme="minorEastAsia" w:hAnsi="Titillium Web" w:cstheme="minorBidi"/>
      <w:b/>
      <w:caps/>
      <w:color w:val="E68000"/>
      <w:spacing w:val="15"/>
      <w:sz w:val="24"/>
      <w:szCs w:val="22"/>
      <w:lang w:eastAsia="en-US"/>
    </w:rPr>
  </w:style>
  <w:style w:type="character" w:styleId="Subtielebenadrukking">
    <w:name w:val="Subtle Emphasis"/>
    <w:basedOn w:val="Standaardalinea-lettertype"/>
    <w:uiPriority w:val="19"/>
    <w:qFormat/>
    <w:rsid w:val="00580F06"/>
    <w:rPr>
      <w:i/>
      <w:iCs/>
      <w:color w:val="404040" w:themeColor="text1" w:themeTint="BF"/>
    </w:rPr>
  </w:style>
  <w:style w:type="character" w:styleId="Zwaar">
    <w:name w:val="Strong"/>
    <w:basedOn w:val="Standaardalinea-lettertype"/>
    <w:qFormat/>
    <w:rsid w:val="000E2696"/>
    <w:rPr>
      <w:b/>
      <w:bCs/>
    </w:rPr>
  </w:style>
  <w:style w:type="paragraph" w:styleId="Geenafstand">
    <w:name w:val="No Spacing"/>
    <w:uiPriority w:val="1"/>
    <w:qFormat/>
    <w:rsid w:val="000E2696"/>
    <w:rPr>
      <w:rFonts w:ascii="Titillium Web" w:hAnsi="Titillium Web"/>
      <w:color w:val="000000" w:themeColor="text1"/>
      <w:sz w:val="19"/>
      <w:szCs w:val="24"/>
      <w:lang w:eastAsia="en-US"/>
    </w:rPr>
  </w:style>
  <w:style w:type="paragraph" w:styleId="Citaat">
    <w:name w:val="Quote"/>
    <w:basedOn w:val="Standaard"/>
    <w:next w:val="Standaard"/>
    <w:link w:val="CitaatChar"/>
    <w:uiPriority w:val="29"/>
    <w:qFormat/>
    <w:rsid w:val="000E2696"/>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0E2696"/>
    <w:rPr>
      <w:rFonts w:ascii="Titillium Web" w:hAnsi="Titillium Web"/>
      <w:i/>
      <w:iCs/>
      <w:color w:val="404040" w:themeColor="text1" w:themeTint="BF"/>
      <w:sz w:val="19"/>
      <w:szCs w:val="24"/>
      <w:lang w:eastAsia="en-US"/>
    </w:rPr>
  </w:style>
  <w:style w:type="character" w:styleId="Intensievebenadrukking">
    <w:name w:val="Intense Emphasis"/>
    <w:basedOn w:val="Standaardalinea-lettertype"/>
    <w:uiPriority w:val="21"/>
    <w:qFormat/>
    <w:rsid w:val="000E2696"/>
    <w:rPr>
      <w:i/>
      <w:iCs/>
      <w:color w:val="4F81BD" w:themeColor="accent1"/>
    </w:rPr>
  </w:style>
  <w:style w:type="paragraph" w:styleId="Inhopg2">
    <w:name w:val="toc 2"/>
    <w:basedOn w:val="Standaard"/>
    <w:next w:val="Standaard"/>
    <w:autoRedefine/>
    <w:uiPriority w:val="39"/>
    <w:unhideWhenUsed/>
    <w:rsid w:val="00E32E15"/>
    <w:pPr>
      <w:spacing w:before="240"/>
    </w:pPr>
    <w:rPr>
      <w:rFonts w:asciiTheme="minorHAnsi" w:hAnsiTheme="minorHAnsi" w:cstheme="minorHAnsi"/>
      <w:b/>
      <w:bCs/>
      <w:sz w:val="20"/>
      <w:szCs w:val="20"/>
    </w:rPr>
  </w:style>
  <w:style w:type="paragraph" w:styleId="Inhopg1">
    <w:name w:val="toc 1"/>
    <w:basedOn w:val="Standaard"/>
    <w:next w:val="Standaard"/>
    <w:autoRedefine/>
    <w:uiPriority w:val="39"/>
    <w:unhideWhenUsed/>
    <w:rsid w:val="00B81B0E"/>
    <w:pPr>
      <w:tabs>
        <w:tab w:val="left" w:pos="570"/>
        <w:tab w:val="right" w:leader="dot" w:pos="9629"/>
      </w:tabs>
    </w:pPr>
    <w:rPr>
      <w:bCs/>
      <w:caps/>
      <w:noProof/>
      <w:color w:val="E68000"/>
      <w:sz w:val="24"/>
    </w:rPr>
  </w:style>
  <w:style w:type="paragraph" w:styleId="Inhopg3">
    <w:name w:val="toc 3"/>
    <w:basedOn w:val="Standaard"/>
    <w:next w:val="Standaard"/>
    <w:autoRedefine/>
    <w:uiPriority w:val="39"/>
    <w:unhideWhenUsed/>
    <w:rsid w:val="00E32E15"/>
    <w:pPr>
      <w:ind w:left="190"/>
    </w:pPr>
    <w:rPr>
      <w:rFonts w:asciiTheme="minorHAnsi" w:hAnsiTheme="minorHAnsi" w:cstheme="minorHAnsi"/>
      <w:sz w:val="20"/>
      <w:szCs w:val="20"/>
    </w:rPr>
  </w:style>
  <w:style w:type="paragraph" w:styleId="Inhopg4">
    <w:name w:val="toc 4"/>
    <w:basedOn w:val="Standaard"/>
    <w:next w:val="Standaard"/>
    <w:autoRedefine/>
    <w:unhideWhenUsed/>
    <w:rsid w:val="00E32E15"/>
    <w:pPr>
      <w:ind w:left="380"/>
    </w:pPr>
    <w:rPr>
      <w:rFonts w:asciiTheme="minorHAnsi" w:hAnsiTheme="minorHAnsi" w:cstheme="minorHAnsi"/>
      <w:sz w:val="20"/>
      <w:szCs w:val="20"/>
    </w:rPr>
  </w:style>
  <w:style w:type="paragraph" w:styleId="Inhopg5">
    <w:name w:val="toc 5"/>
    <w:basedOn w:val="Standaard"/>
    <w:next w:val="Standaard"/>
    <w:autoRedefine/>
    <w:unhideWhenUsed/>
    <w:rsid w:val="00E32E15"/>
    <w:pPr>
      <w:ind w:left="570"/>
    </w:pPr>
    <w:rPr>
      <w:rFonts w:asciiTheme="minorHAnsi" w:hAnsiTheme="minorHAnsi" w:cstheme="minorHAnsi"/>
      <w:sz w:val="20"/>
      <w:szCs w:val="20"/>
    </w:rPr>
  </w:style>
  <w:style w:type="paragraph" w:styleId="Inhopg6">
    <w:name w:val="toc 6"/>
    <w:basedOn w:val="Standaard"/>
    <w:next w:val="Standaard"/>
    <w:autoRedefine/>
    <w:unhideWhenUsed/>
    <w:rsid w:val="00E32E15"/>
    <w:pPr>
      <w:ind w:left="760"/>
    </w:pPr>
    <w:rPr>
      <w:rFonts w:asciiTheme="minorHAnsi" w:hAnsiTheme="minorHAnsi" w:cstheme="minorHAnsi"/>
      <w:sz w:val="20"/>
      <w:szCs w:val="20"/>
    </w:rPr>
  </w:style>
  <w:style w:type="paragraph" w:styleId="Inhopg7">
    <w:name w:val="toc 7"/>
    <w:basedOn w:val="Standaard"/>
    <w:next w:val="Standaard"/>
    <w:autoRedefine/>
    <w:unhideWhenUsed/>
    <w:rsid w:val="00E32E15"/>
    <w:pPr>
      <w:ind w:left="950"/>
    </w:pPr>
    <w:rPr>
      <w:rFonts w:asciiTheme="minorHAnsi" w:hAnsiTheme="minorHAnsi" w:cstheme="minorHAnsi"/>
      <w:sz w:val="20"/>
      <w:szCs w:val="20"/>
    </w:rPr>
  </w:style>
  <w:style w:type="paragraph" w:styleId="Inhopg8">
    <w:name w:val="toc 8"/>
    <w:basedOn w:val="Standaard"/>
    <w:next w:val="Standaard"/>
    <w:autoRedefine/>
    <w:unhideWhenUsed/>
    <w:rsid w:val="00E32E15"/>
    <w:pPr>
      <w:ind w:left="1140"/>
    </w:pPr>
    <w:rPr>
      <w:rFonts w:asciiTheme="minorHAnsi" w:hAnsiTheme="minorHAnsi" w:cstheme="minorHAnsi"/>
      <w:sz w:val="20"/>
      <w:szCs w:val="20"/>
    </w:rPr>
  </w:style>
  <w:style w:type="paragraph" w:styleId="Inhopg9">
    <w:name w:val="toc 9"/>
    <w:basedOn w:val="Standaard"/>
    <w:next w:val="Standaard"/>
    <w:autoRedefine/>
    <w:unhideWhenUsed/>
    <w:rsid w:val="00E32E15"/>
    <w:pPr>
      <w:ind w:left="1330"/>
    </w:pPr>
    <w:rPr>
      <w:rFonts w:asciiTheme="minorHAnsi" w:hAnsiTheme="minorHAnsi" w:cstheme="minorHAnsi"/>
      <w:sz w:val="20"/>
      <w:szCs w:val="20"/>
    </w:rPr>
  </w:style>
  <w:style w:type="paragraph" w:styleId="Kopvaninhoudsopgave">
    <w:name w:val="TOC Heading"/>
    <w:basedOn w:val="Kop1"/>
    <w:next w:val="Standaard"/>
    <w:uiPriority w:val="39"/>
    <w:unhideWhenUsed/>
    <w:qFormat/>
    <w:rsid w:val="00527E84"/>
    <w:pPr>
      <w:spacing w:before="240" w:line="259" w:lineRule="auto"/>
      <w:outlineLvl w:val="9"/>
    </w:pPr>
    <w:rPr>
      <w:rFonts w:asciiTheme="majorHAnsi" w:hAnsiTheme="majorHAnsi"/>
      <w:b w:val="0"/>
      <w:bCs w:val="0"/>
      <w:caps w:val="0"/>
      <w:color w:val="365F91" w:themeColor="accent1" w:themeShade="BF"/>
      <w:sz w:val="32"/>
      <w:szCs w:val="32"/>
      <w:lang w:eastAsia="nl-NL"/>
    </w:rPr>
  </w:style>
  <w:style w:type="paragraph" w:styleId="Titel">
    <w:name w:val="Title"/>
    <w:basedOn w:val="Standaard"/>
    <w:next w:val="Standaard"/>
    <w:link w:val="TitelChar"/>
    <w:qFormat/>
    <w:rsid w:val="00527E84"/>
    <w:pPr>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rsid w:val="00527E84"/>
    <w:rPr>
      <w:rFonts w:asciiTheme="majorHAnsi" w:eastAsiaTheme="majorEastAsia" w:hAnsiTheme="majorHAnsi" w:cstheme="majorBidi"/>
      <w:spacing w:val="-10"/>
      <w:kern w:val="28"/>
      <w:sz w:val="56"/>
      <w:szCs w:val="56"/>
      <w:lang w:eastAsia="en-US"/>
    </w:rPr>
  </w:style>
  <w:style w:type="character" w:styleId="Onopgelostemelding">
    <w:name w:val="Unresolved Mention"/>
    <w:basedOn w:val="Standaardalinea-lettertype"/>
    <w:uiPriority w:val="99"/>
    <w:semiHidden/>
    <w:unhideWhenUsed/>
    <w:rsid w:val="00DC1CB4"/>
    <w:rPr>
      <w:color w:val="605E5C"/>
      <w:shd w:val="clear" w:color="auto" w:fill="E1DFDD"/>
    </w:rPr>
  </w:style>
  <w:style w:type="character" w:styleId="GevolgdeHyperlink">
    <w:name w:val="FollowedHyperlink"/>
    <w:basedOn w:val="Standaardalinea-lettertype"/>
    <w:semiHidden/>
    <w:unhideWhenUsed/>
    <w:rsid w:val="00DC1CB4"/>
    <w:rPr>
      <w:color w:val="800080" w:themeColor="followedHyperlink"/>
      <w:u w:val="single"/>
    </w:rPr>
  </w:style>
  <w:style w:type="paragraph" w:styleId="Voetnoottekst">
    <w:name w:val="footnote text"/>
    <w:basedOn w:val="Standaard"/>
    <w:link w:val="VoetnoottekstChar"/>
    <w:semiHidden/>
    <w:unhideWhenUsed/>
    <w:rsid w:val="001B71AA"/>
    <w:rPr>
      <w:sz w:val="20"/>
      <w:szCs w:val="20"/>
    </w:rPr>
  </w:style>
  <w:style w:type="character" w:customStyle="1" w:styleId="VoetnoottekstChar">
    <w:name w:val="Voetnoottekst Char"/>
    <w:basedOn w:val="Standaardalinea-lettertype"/>
    <w:link w:val="Voetnoottekst"/>
    <w:semiHidden/>
    <w:rsid w:val="001B71AA"/>
    <w:rPr>
      <w:rFonts w:ascii="Titillium Web" w:hAnsi="Titillium Web"/>
      <w:color w:val="000000" w:themeColor="text1"/>
      <w:lang w:eastAsia="en-US"/>
    </w:rPr>
  </w:style>
  <w:style w:type="character" w:styleId="Voetnootmarkering">
    <w:name w:val="footnote reference"/>
    <w:basedOn w:val="Standaardalinea-lettertype"/>
    <w:semiHidden/>
    <w:unhideWhenUsed/>
    <w:rsid w:val="001B71AA"/>
    <w:rPr>
      <w:vertAlign w:val="superscript"/>
    </w:rPr>
  </w:style>
  <w:style w:type="paragraph" w:styleId="Bijschrift">
    <w:name w:val="caption"/>
    <w:basedOn w:val="Standaard"/>
    <w:next w:val="Standaard"/>
    <w:unhideWhenUsed/>
    <w:qFormat/>
    <w:rsid w:val="009B50A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6387">
      <w:bodyDiv w:val="1"/>
      <w:marLeft w:val="0"/>
      <w:marRight w:val="0"/>
      <w:marTop w:val="0"/>
      <w:marBottom w:val="0"/>
      <w:divBdr>
        <w:top w:val="none" w:sz="0" w:space="0" w:color="auto"/>
        <w:left w:val="none" w:sz="0" w:space="0" w:color="auto"/>
        <w:bottom w:val="none" w:sz="0" w:space="0" w:color="auto"/>
        <w:right w:val="none" w:sz="0" w:space="0" w:color="auto"/>
      </w:divBdr>
    </w:div>
    <w:div w:id="119879469">
      <w:bodyDiv w:val="1"/>
      <w:marLeft w:val="0"/>
      <w:marRight w:val="0"/>
      <w:marTop w:val="0"/>
      <w:marBottom w:val="0"/>
      <w:divBdr>
        <w:top w:val="none" w:sz="0" w:space="0" w:color="auto"/>
        <w:left w:val="none" w:sz="0" w:space="0" w:color="auto"/>
        <w:bottom w:val="none" w:sz="0" w:space="0" w:color="auto"/>
        <w:right w:val="none" w:sz="0" w:space="0" w:color="auto"/>
      </w:divBdr>
    </w:div>
    <w:div w:id="150106050">
      <w:bodyDiv w:val="1"/>
      <w:marLeft w:val="0"/>
      <w:marRight w:val="0"/>
      <w:marTop w:val="0"/>
      <w:marBottom w:val="0"/>
      <w:divBdr>
        <w:top w:val="none" w:sz="0" w:space="0" w:color="auto"/>
        <w:left w:val="none" w:sz="0" w:space="0" w:color="auto"/>
        <w:bottom w:val="none" w:sz="0" w:space="0" w:color="auto"/>
        <w:right w:val="none" w:sz="0" w:space="0" w:color="auto"/>
      </w:divBdr>
    </w:div>
    <w:div w:id="151605055">
      <w:bodyDiv w:val="1"/>
      <w:marLeft w:val="0"/>
      <w:marRight w:val="0"/>
      <w:marTop w:val="0"/>
      <w:marBottom w:val="0"/>
      <w:divBdr>
        <w:top w:val="none" w:sz="0" w:space="0" w:color="auto"/>
        <w:left w:val="none" w:sz="0" w:space="0" w:color="auto"/>
        <w:bottom w:val="none" w:sz="0" w:space="0" w:color="auto"/>
        <w:right w:val="none" w:sz="0" w:space="0" w:color="auto"/>
      </w:divBdr>
    </w:div>
    <w:div w:id="164521928">
      <w:bodyDiv w:val="1"/>
      <w:marLeft w:val="0"/>
      <w:marRight w:val="0"/>
      <w:marTop w:val="0"/>
      <w:marBottom w:val="0"/>
      <w:divBdr>
        <w:top w:val="none" w:sz="0" w:space="0" w:color="auto"/>
        <w:left w:val="none" w:sz="0" w:space="0" w:color="auto"/>
        <w:bottom w:val="none" w:sz="0" w:space="0" w:color="auto"/>
        <w:right w:val="none" w:sz="0" w:space="0" w:color="auto"/>
      </w:divBdr>
    </w:div>
    <w:div w:id="175655072">
      <w:bodyDiv w:val="1"/>
      <w:marLeft w:val="0"/>
      <w:marRight w:val="0"/>
      <w:marTop w:val="0"/>
      <w:marBottom w:val="0"/>
      <w:divBdr>
        <w:top w:val="none" w:sz="0" w:space="0" w:color="auto"/>
        <w:left w:val="none" w:sz="0" w:space="0" w:color="auto"/>
        <w:bottom w:val="none" w:sz="0" w:space="0" w:color="auto"/>
        <w:right w:val="none" w:sz="0" w:space="0" w:color="auto"/>
      </w:divBdr>
    </w:div>
    <w:div w:id="180826596">
      <w:bodyDiv w:val="1"/>
      <w:marLeft w:val="0"/>
      <w:marRight w:val="0"/>
      <w:marTop w:val="0"/>
      <w:marBottom w:val="0"/>
      <w:divBdr>
        <w:top w:val="none" w:sz="0" w:space="0" w:color="auto"/>
        <w:left w:val="none" w:sz="0" w:space="0" w:color="auto"/>
        <w:bottom w:val="none" w:sz="0" w:space="0" w:color="auto"/>
        <w:right w:val="none" w:sz="0" w:space="0" w:color="auto"/>
      </w:divBdr>
    </w:div>
    <w:div w:id="195316473">
      <w:bodyDiv w:val="1"/>
      <w:marLeft w:val="0"/>
      <w:marRight w:val="0"/>
      <w:marTop w:val="0"/>
      <w:marBottom w:val="0"/>
      <w:divBdr>
        <w:top w:val="none" w:sz="0" w:space="0" w:color="auto"/>
        <w:left w:val="none" w:sz="0" w:space="0" w:color="auto"/>
        <w:bottom w:val="none" w:sz="0" w:space="0" w:color="auto"/>
        <w:right w:val="none" w:sz="0" w:space="0" w:color="auto"/>
      </w:divBdr>
    </w:div>
    <w:div w:id="206336373">
      <w:bodyDiv w:val="1"/>
      <w:marLeft w:val="0"/>
      <w:marRight w:val="0"/>
      <w:marTop w:val="0"/>
      <w:marBottom w:val="0"/>
      <w:divBdr>
        <w:top w:val="none" w:sz="0" w:space="0" w:color="auto"/>
        <w:left w:val="none" w:sz="0" w:space="0" w:color="auto"/>
        <w:bottom w:val="none" w:sz="0" w:space="0" w:color="auto"/>
        <w:right w:val="none" w:sz="0" w:space="0" w:color="auto"/>
      </w:divBdr>
    </w:div>
    <w:div w:id="211231116">
      <w:bodyDiv w:val="1"/>
      <w:marLeft w:val="0"/>
      <w:marRight w:val="0"/>
      <w:marTop w:val="0"/>
      <w:marBottom w:val="0"/>
      <w:divBdr>
        <w:top w:val="none" w:sz="0" w:space="0" w:color="auto"/>
        <w:left w:val="none" w:sz="0" w:space="0" w:color="auto"/>
        <w:bottom w:val="none" w:sz="0" w:space="0" w:color="auto"/>
        <w:right w:val="none" w:sz="0" w:space="0" w:color="auto"/>
      </w:divBdr>
    </w:div>
    <w:div w:id="240718561">
      <w:bodyDiv w:val="1"/>
      <w:marLeft w:val="0"/>
      <w:marRight w:val="0"/>
      <w:marTop w:val="0"/>
      <w:marBottom w:val="0"/>
      <w:divBdr>
        <w:top w:val="none" w:sz="0" w:space="0" w:color="auto"/>
        <w:left w:val="none" w:sz="0" w:space="0" w:color="auto"/>
        <w:bottom w:val="none" w:sz="0" w:space="0" w:color="auto"/>
        <w:right w:val="none" w:sz="0" w:space="0" w:color="auto"/>
      </w:divBdr>
    </w:div>
    <w:div w:id="247354372">
      <w:bodyDiv w:val="1"/>
      <w:marLeft w:val="0"/>
      <w:marRight w:val="0"/>
      <w:marTop w:val="0"/>
      <w:marBottom w:val="0"/>
      <w:divBdr>
        <w:top w:val="none" w:sz="0" w:space="0" w:color="auto"/>
        <w:left w:val="none" w:sz="0" w:space="0" w:color="auto"/>
        <w:bottom w:val="none" w:sz="0" w:space="0" w:color="auto"/>
        <w:right w:val="none" w:sz="0" w:space="0" w:color="auto"/>
      </w:divBdr>
    </w:div>
    <w:div w:id="278297220">
      <w:bodyDiv w:val="1"/>
      <w:marLeft w:val="0"/>
      <w:marRight w:val="0"/>
      <w:marTop w:val="0"/>
      <w:marBottom w:val="0"/>
      <w:divBdr>
        <w:top w:val="none" w:sz="0" w:space="0" w:color="auto"/>
        <w:left w:val="none" w:sz="0" w:space="0" w:color="auto"/>
        <w:bottom w:val="none" w:sz="0" w:space="0" w:color="auto"/>
        <w:right w:val="none" w:sz="0" w:space="0" w:color="auto"/>
      </w:divBdr>
    </w:div>
    <w:div w:id="280846290">
      <w:bodyDiv w:val="1"/>
      <w:marLeft w:val="0"/>
      <w:marRight w:val="0"/>
      <w:marTop w:val="0"/>
      <w:marBottom w:val="0"/>
      <w:divBdr>
        <w:top w:val="none" w:sz="0" w:space="0" w:color="auto"/>
        <w:left w:val="none" w:sz="0" w:space="0" w:color="auto"/>
        <w:bottom w:val="none" w:sz="0" w:space="0" w:color="auto"/>
        <w:right w:val="none" w:sz="0" w:space="0" w:color="auto"/>
      </w:divBdr>
    </w:div>
    <w:div w:id="311057421">
      <w:bodyDiv w:val="1"/>
      <w:marLeft w:val="0"/>
      <w:marRight w:val="0"/>
      <w:marTop w:val="0"/>
      <w:marBottom w:val="0"/>
      <w:divBdr>
        <w:top w:val="none" w:sz="0" w:space="0" w:color="auto"/>
        <w:left w:val="none" w:sz="0" w:space="0" w:color="auto"/>
        <w:bottom w:val="none" w:sz="0" w:space="0" w:color="auto"/>
        <w:right w:val="none" w:sz="0" w:space="0" w:color="auto"/>
      </w:divBdr>
    </w:div>
    <w:div w:id="328945336">
      <w:bodyDiv w:val="1"/>
      <w:marLeft w:val="0"/>
      <w:marRight w:val="0"/>
      <w:marTop w:val="0"/>
      <w:marBottom w:val="0"/>
      <w:divBdr>
        <w:top w:val="none" w:sz="0" w:space="0" w:color="auto"/>
        <w:left w:val="none" w:sz="0" w:space="0" w:color="auto"/>
        <w:bottom w:val="none" w:sz="0" w:space="0" w:color="auto"/>
        <w:right w:val="none" w:sz="0" w:space="0" w:color="auto"/>
      </w:divBdr>
    </w:div>
    <w:div w:id="344602090">
      <w:bodyDiv w:val="1"/>
      <w:marLeft w:val="0"/>
      <w:marRight w:val="0"/>
      <w:marTop w:val="0"/>
      <w:marBottom w:val="0"/>
      <w:divBdr>
        <w:top w:val="none" w:sz="0" w:space="0" w:color="auto"/>
        <w:left w:val="none" w:sz="0" w:space="0" w:color="auto"/>
        <w:bottom w:val="none" w:sz="0" w:space="0" w:color="auto"/>
        <w:right w:val="none" w:sz="0" w:space="0" w:color="auto"/>
      </w:divBdr>
    </w:div>
    <w:div w:id="353188176">
      <w:bodyDiv w:val="1"/>
      <w:marLeft w:val="0"/>
      <w:marRight w:val="0"/>
      <w:marTop w:val="0"/>
      <w:marBottom w:val="0"/>
      <w:divBdr>
        <w:top w:val="none" w:sz="0" w:space="0" w:color="auto"/>
        <w:left w:val="none" w:sz="0" w:space="0" w:color="auto"/>
        <w:bottom w:val="none" w:sz="0" w:space="0" w:color="auto"/>
        <w:right w:val="none" w:sz="0" w:space="0" w:color="auto"/>
      </w:divBdr>
    </w:div>
    <w:div w:id="354843724">
      <w:bodyDiv w:val="1"/>
      <w:marLeft w:val="0"/>
      <w:marRight w:val="0"/>
      <w:marTop w:val="0"/>
      <w:marBottom w:val="0"/>
      <w:divBdr>
        <w:top w:val="none" w:sz="0" w:space="0" w:color="auto"/>
        <w:left w:val="none" w:sz="0" w:space="0" w:color="auto"/>
        <w:bottom w:val="none" w:sz="0" w:space="0" w:color="auto"/>
        <w:right w:val="none" w:sz="0" w:space="0" w:color="auto"/>
      </w:divBdr>
    </w:div>
    <w:div w:id="374818514">
      <w:bodyDiv w:val="1"/>
      <w:marLeft w:val="0"/>
      <w:marRight w:val="0"/>
      <w:marTop w:val="0"/>
      <w:marBottom w:val="0"/>
      <w:divBdr>
        <w:top w:val="none" w:sz="0" w:space="0" w:color="auto"/>
        <w:left w:val="none" w:sz="0" w:space="0" w:color="auto"/>
        <w:bottom w:val="none" w:sz="0" w:space="0" w:color="auto"/>
        <w:right w:val="none" w:sz="0" w:space="0" w:color="auto"/>
      </w:divBdr>
    </w:div>
    <w:div w:id="377976974">
      <w:bodyDiv w:val="1"/>
      <w:marLeft w:val="0"/>
      <w:marRight w:val="0"/>
      <w:marTop w:val="0"/>
      <w:marBottom w:val="0"/>
      <w:divBdr>
        <w:top w:val="none" w:sz="0" w:space="0" w:color="auto"/>
        <w:left w:val="none" w:sz="0" w:space="0" w:color="auto"/>
        <w:bottom w:val="none" w:sz="0" w:space="0" w:color="auto"/>
        <w:right w:val="none" w:sz="0" w:space="0" w:color="auto"/>
      </w:divBdr>
      <w:divsChild>
        <w:div w:id="371199561">
          <w:marLeft w:val="274"/>
          <w:marRight w:val="0"/>
          <w:marTop w:val="0"/>
          <w:marBottom w:val="0"/>
          <w:divBdr>
            <w:top w:val="none" w:sz="0" w:space="0" w:color="auto"/>
            <w:left w:val="none" w:sz="0" w:space="0" w:color="auto"/>
            <w:bottom w:val="none" w:sz="0" w:space="0" w:color="auto"/>
            <w:right w:val="none" w:sz="0" w:space="0" w:color="auto"/>
          </w:divBdr>
        </w:div>
        <w:div w:id="737560088">
          <w:marLeft w:val="274"/>
          <w:marRight w:val="0"/>
          <w:marTop w:val="0"/>
          <w:marBottom w:val="0"/>
          <w:divBdr>
            <w:top w:val="none" w:sz="0" w:space="0" w:color="auto"/>
            <w:left w:val="none" w:sz="0" w:space="0" w:color="auto"/>
            <w:bottom w:val="none" w:sz="0" w:space="0" w:color="auto"/>
            <w:right w:val="none" w:sz="0" w:space="0" w:color="auto"/>
          </w:divBdr>
        </w:div>
      </w:divsChild>
    </w:div>
    <w:div w:id="429861139">
      <w:bodyDiv w:val="1"/>
      <w:marLeft w:val="0"/>
      <w:marRight w:val="0"/>
      <w:marTop w:val="0"/>
      <w:marBottom w:val="0"/>
      <w:divBdr>
        <w:top w:val="none" w:sz="0" w:space="0" w:color="auto"/>
        <w:left w:val="none" w:sz="0" w:space="0" w:color="auto"/>
        <w:bottom w:val="none" w:sz="0" w:space="0" w:color="auto"/>
        <w:right w:val="none" w:sz="0" w:space="0" w:color="auto"/>
      </w:divBdr>
    </w:div>
    <w:div w:id="440035576">
      <w:bodyDiv w:val="1"/>
      <w:marLeft w:val="0"/>
      <w:marRight w:val="0"/>
      <w:marTop w:val="0"/>
      <w:marBottom w:val="0"/>
      <w:divBdr>
        <w:top w:val="none" w:sz="0" w:space="0" w:color="auto"/>
        <w:left w:val="none" w:sz="0" w:space="0" w:color="auto"/>
        <w:bottom w:val="none" w:sz="0" w:space="0" w:color="auto"/>
        <w:right w:val="none" w:sz="0" w:space="0" w:color="auto"/>
      </w:divBdr>
    </w:div>
    <w:div w:id="442582148">
      <w:bodyDiv w:val="1"/>
      <w:marLeft w:val="0"/>
      <w:marRight w:val="0"/>
      <w:marTop w:val="0"/>
      <w:marBottom w:val="0"/>
      <w:divBdr>
        <w:top w:val="none" w:sz="0" w:space="0" w:color="auto"/>
        <w:left w:val="none" w:sz="0" w:space="0" w:color="auto"/>
        <w:bottom w:val="none" w:sz="0" w:space="0" w:color="auto"/>
        <w:right w:val="none" w:sz="0" w:space="0" w:color="auto"/>
      </w:divBdr>
    </w:div>
    <w:div w:id="453594367">
      <w:bodyDiv w:val="1"/>
      <w:marLeft w:val="0"/>
      <w:marRight w:val="0"/>
      <w:marTop w:val="0"/>
      <w:marBottom w:val="0"/>
      <w:divBdr>
        <w:top w:val="none" w:sz="0" w:space="0" w:color="auto"/>
        <w:left w:val="none" w:sz="0" w:space="0" w:color="auto"/>
        <w:bottom w:val="none" w:sz="0" w:space="0" w:color="auto"/>
        <w:right w:val="none" w:sz="0" w:space="0" w:color="auto"/>
      </w:divBdr>
    </w:div>
    <w:div w:id="480580514">
      <w:bodyDiv w:val="1"/>
      <w:marLeft w:val="0"/>
      <w:marRight w:val="0"/>
      <w:marTop w:val="0"/>
      <w:marBottom w:val="0"/>
      <w:divBdr>
        <w:top w:val="none" w:sz="0" w:space="0" w:color="auto"/>
        <w:left w:val="none" w:sz="0" w:space="0" w:color="auto"/>
        <w:bottom w:val="none" w:sz="0" w:space="0" w:color="auto"/>
        <w:right w:val="none" w:sz="0" w:space="0" w:color="auto"/>
      </w:divBdr>
    </w:div>
    <w:div w:id="483277328">
      <w:bodyDiv w:val="1"/>
      <w:marLeft w:val="0"/>
      <w:marRight w:val="0"/>
      <w:marTop w:val="0"/>
      <w:marBottom w:val="0"/>
      <w:divBdr>
        <w:top w:val="none" w:sz="0" w:space="0" w:color="auto"/>
        <w:left w:val="none" w:sz="0" w:space="0" w:color="auto"/>
        <w:bottom w:val="none" w:sz="0" w:space="0" w:color="auto"/>
        <w:right w:val="none" w:sz="0" w:space="0" w:color="auto"/>
      </w:divBdr>
    </w:div>
    <w:div w:id="492726513">
      <w:bodyDiv w:val="1"/>
      <w:marLeft w:val="0"/>
      <w:marRight w:val="0"/>
      <w:marTop w:val="0"/>
      <w:marBottom w:val="0"/>
      <w:divBdr>
        <w:top w:val="none" w:sz="0" w:space="0" w:color="auto"/>
        <w:left w:val="none" w:sz="0" w:space="0" w:color="auto"/>
        <w:bottom w:val="none" w:sz="0" w:space="0" w:color="auto"/>
        <w:right w:val="none" w:sz="0" w:space="0" w:color="auto"/>
      </w:divBdr>
    </w:div>
    <w:div w:id="523977555">
      <w:bodyDiv w:val="1"/>
      <w:marLeft w:val="0"/>
      <w:marRight w:val="0"/>
      <w:marTop w:val="0"/>
      <w:marBottom w:val="0"/>
      <w:divBdr>
        <w:top w:val="none" w:sz="0" w:space="0" w:color="auto"/>
        <w:left w:val="none" w:sz="0" w:space="0" w:color="auto"/>
        <w:bottom w:val="none" w:sz="0" w:space="0" w:color="auto"/>
        <w:right w:val="none" w:sz="0" w:space="0" w:color="auto"/>
      </w:divBdr>
    </w:div>
    <w:div w:id="563756498">
      <w:bodyDiv w:val="1"/>
      <w:marLeft w:val="0"/>
      <w:marRight w:val="0"/>
      <w:marTop w:val="0"/>
      <w:marBottom w:val="0"/>
      <w:divBdr>
        <w:top w:val="none" w:sz="0" w:space="0" w:color="auto"/>
        <w:left w:val="none" w:sz="0" w:space="0" w:color="auto"/>
        <w:bottom w:val="none" w:sz="0" w:space="0" w:color="auto"/>
        <w:right w:val="none" w:sz="0" w:space="0" w:color="auto"/>
      </w:divBdr>
    </w:div>
    <w:div w:id="576591985">
      <w:bodyDiv w:val="1"/>
      <w:marLeft w:val="0"/>
      <w:marRight w:val="0"/>
      <w:marTop w:val="0"/>
      <w:marBottom w:val="0"/>
      <w:divBdr>
        <w:top w:val="none" w:sz="0" w:space="0" w:color="auto"/>
        <w:left w:val="none" w:sz="0" w:space="0" w:color="auto"/>
        <w:bottom w:val="none" w:sz="0" w:space="0" w:color="auto"/>
        <w:right w:val="none" w:sz="0" w:space="0" w:color="auto"/>
      </w:divBdr>
    </w:div>
    <w:div w:id="599065902">
      <w:bodyDiv w:val="1"/>
      <w:marLeft w:val="0"/>
      <w:marRight w:val="0"/>
      <w:marTop w:val="0"/>
      <w:marBottom w:val="0"/>
      <w:divBdr>
        <w:top w:val="none" w:sz="0" w:space="0" w:color="auto"/>
        <w:left w:val="none" w:sz="0" w:space="0" w:color="auto"/>
        <w:bottom w:val="none" w:sz="0" w:space="0" w:color="auto"/>
        <w:right w:val="none" w:sz="0" w:space="0" w:color="auto"/>
      </w:divBdr>
    </w:div>
    <w:div w:id="638002642">
      <w:bodyDiv w:val="1"/>
      <w:marLeft w:val="0"/>
      <w:marRight w:val="0"/>
      <w:marTop w:val="0"/>
      <w:marBottom w:val="0"/>
      <w:divBdr>
        <w:top w:val="none" w:sz="0" w:space="0" w:color="auto"/>
        <w:left w:val="none" w:sz="0" w:space="0" w:color="auto"/>
        <w:bottom w:val="none" w:sz="0" w:space="0" w:color="auto"/>
        <w:right w:val="none" w:sz="0" w:space="0" w:color="auto"/>
      </w:divBdr>
    </w:div>
    <w:div w:id="641033807">
      <w:bodyDiv w:val="1"/>
      <w:marLeft w:val="0"/>
      <w:marRight w:val="0"/>
      <w:marTop w:val="0"/>
      <w:marBottom w:val="0"/>
      <w:divBdr>
        <w:top w:val="none" w:sz="0" w:space="0" w:color="auto"/>
        <w:left w:val="none" w:sz="0" w:space="0" w:color="auto"/>
        <w:bottom w:val="none" w:sz="0" w:space="0" w:color="auto"/>
        <w:right w:val="none" w:sz="0" w:space="0" w:color="auto"/>
      </w:divBdr>
    </w:div>
    <w:div w:id="661277275">
      <w:bodyDiv w:val="1"/>
      <w:marLeft w:val="0"/>
      <w:marRight w:val="0"/>
      <w:marTop w:val="0"/>
      <w:marBottom w:val="0"/>
      <w:divBdr>
        <w:top w:val="none" w:sz="0" w:space="0" w:color="auto"/>
        <w:left w:val="none" w:sz="0" w:space="0" w:color="auto"/>
        <w:bottom w:val="none" w:sz="0" w:space="0" w:color="auto"/>
        <w:right w:val="none" w:sz="0" w:space="0" w:color="auto"/>
      </w:divBdr>
    </w:div>
    <w:div w:id="692418192">
      <w:bodyDiv w:val="1"/>
      <w:marLeft w:val="0"/>
      <w:marRight w:val="0"/>
      <w:marTop w:val="0"/>
      <w:marBottom w:val="0"/>
      <w:divBdr>
        <w:top w:val="none" w:sz="0" w:space="0" w:color="auto"/>
        <w:left w:val="none" w:sz="0" w:space="0" w:color="auto"/>
        <w:bottom w:val="none" w:sz="0" w:space="0" w:color="auto"/>
        <w:right w:val="none" w:sz="0" w:space="0" w:color="auto"/>
      </w:divBdr>
    </w:div>
    <w:div w:id="714624968">
      <w:bodyDiv w:val="1"/>
      <w:marLeft w:val="0"/>
      <w:marRight w:val="0"/>
      <w:marTop w:val="0"/>
      <w:marBottom w:val="0"/>
      <w:divBdr>
        <w:top w:val="none" w:sz="0" w:space="0" w:color="auto"/>
        <w:left w:val="none" w:sz="0" w:space="0" w:color="auto"/>
        <w:bottom w:val="none" w:sz="0" w:space="0" w:color="auto"/>
        <w:right w:val="none" w:sz="0" w:space="0" w:color="auto"/>
      </w:divBdr>
    </w:div>
    <w:div w:id="728461924">
      <w:bodyDiv w:val="1"/>
      <w:marLeft w:val="0"/>
      <w:marRight w:val="0"/>
      <w:marTop w:val="0"/>
      <w:marBottom w:val="0"/>
      <w:divBdr>
        <w:top w:val="none" w:sz="0" w:space="0" w:color="auto"/>
        <w:left w:val="none" w:sz="0" w:space="0" w:color="auto"/>
        <w:bottom w:val="none" w:sz="0" w:space="0" w:color="auto"/>
        <w:right w:val="none" w:sz="0" w:space="0" w:color="auto"/>
      </w:divBdr>
    </w:div>
    <w:div w:id="731586277">
      <w:bodyDiv w:val="1"/>
      <w:marLeft w:val="0"/>
      <w:marRight w:val="0"/>
      <w:marTop w:val="0"/>
      <w:marBottom w:val="0"/>
      <w:divBdr>
        <w:top w:val="none" w:sz="0" w:space="0" w:color="auto"/>
        <w:left w:val="none" w:sz="0" w:space="0" w:color="auto"/>
        <w:bottom w:val="none" w:sz="0" w:space="0" w:color="auto"/>
        <w:right w:val="none" w:sz="0" w:space="0" w:color="auto"/>
      </w:divBdr>
    </w:div>
    <w:div w:id="764499256">
      <w:bodyDiv w:val="1"/>
      <w:marLeft w:val="0"/>
      <w:marRight w:val="0"/>
      <w:marTop w:val="0"/>
      <w:marBottom w:val="0"/>
      <w:divBdr>
        <w:top w:val="none" w:sz="0" w:space="0" w:color="auto"/>
        <w:left w:val="none" w:sz="0" w:space="0" w:color="auto"/>
        <w:bottom w:val="none" w:sz="0" w:space="0" w:color="auto"/>
        <w:right w:val="none" w:sz="0" w:space="0" w:color="auto"/>
      </w:divBdr>
    </w:div>
    <w:div w:id="778258585">
      <w:bodyDiv w:val="1"/>
      <w:marLeft w:val="0"/>
      <w:marRight w:val="0"/>
      <w:marTop w:val="0"/>
      <w:marBottom w:val="0"/>
      <w:divBdr>
        <w:top w:val="none" w:sz="0" w:space="0" w:color="auto"/>
        <w:left w:val="none" w:sz="0" w:space="0" w:color="auto"/>
        <w:bottom w:val="none" w:sz="0" w:space="0" w:color="auto"/>
        <w:right w:val="none" w:sz="0" w:space="0" w:color="auto"/>
      </w:divBdr>
    </w:div>
    <w:div w:id="779029636">
      <w:bodyDiv w:val="1"/>
      <w:marLeft w:val="0"/>
      <w:marRight w:val="0"/>
      <w:marTop w:val="0"/>
      <w:marBottom w:val="0"/>
      <w:divBdr>
        <w:top w:val="none" w:sz="0" w:space="0" w:color="auto"/>
        <w:left w:val="none" w:sz="0" w:space="0" w:color="auto"/>
        <w:bottom w:val="none" w:sz="0" w:space="0" w:color="auto"/>
        <w:right w:val="none" w:sz="0" w:space="0" w:color="auto"/>
      </w:divBdr>
    </w:div>
    <w:div w:id="817188962">
      <w:bodyDiv w:val="1"/>
      <w:marLeft w:val="0"/>
      <w:marRight w:val="0"/>
      <w:marTop w:val="0"/>
      <w:marBottom w:val="0"/>
      <w:divBdr>
        <w:top w:val="none" w:sz="0" w:space="0" w:color="auto"/>
        <w:left w:val="none" w:sz="0" w:space="0" w:color="auto"/>
        <w:bottom w:val="none" w:sz="0" w:space="0" w:color="auto"/>
        <w:right w:val="none" w:sz="0" w:space="0" w:color="auto"/>
      </w:divBdr>
    </w:div>
    <w:div w:id="879049880">
      <w:bodyDiv w:val="1"/>
      <w:marLeft w:val="0"/>
      <w:marRight w:val="0"/>
      <w:marTop w:val="0"/>
      <w:marBottom w:val="0"/>
      <w:divBdr>
        <w:top w:val="none" w:sz="0" w:space="0" w:color="auto"/>
        <w:left w:val="none" w:sz="0" w:space="0" w:color="auto"/>
        <w:bottom w:val="none" w:sz="0" w:space="0" w:color="auto"/>
        <w:right w:val="none" w:sz="0" w:space="0" w:color="auto"/>
      </w:divBdr>
    </w:div>
    <w:div w:id="889148499">
      <w:bodyDiv w:val="1"/>
      <w:marLeft w:val="0"/>
      <w:marRight w:val="0"/>
      <w:marTop w:val="0"/>
      <w:marBottom w:val="0"/>
      <w:divBdr>
        <w:top w:val="none" w:sz="0" w:space="0" w:color="auto"/>
        <w:left w:val="none" w:sz="0" w:space="0" w:color="auto"/>
        <w:bottom w:val="none" w:sz="0" w:space="0" w:color="auto"/>
        <w:right w:val="none" w:sz="0" w:space="0" w:color="auto"/>
      </w:divBdr>
    </w:div>
    <w:div w:id="896433012">
      <w:bodyDiv w:val="1"/>
      <w:marLeft w:val="0"/>
      <w:marRight w:val="0"/>
      <w:marTop w:val="0"/>
      <w:marBottom w:val="0"/>
      <w:divBdr>
        <w:top w:val="none" w:sz="0" w:space="0" w:color="auto"/>
        <w:left w:val="none" w:sz="0" w:space="0" w:color="auto"/>
        <w:bottom w:val="none" w:sz="0" w:space="0" w:color="auto"/>
        <w:right w:val="none" w:sz="0" w:space="0" w:color="auto"/>
      </w:divBdr>
    </w:div>
    <w:div w:id="972903596">
      <w:bodyDiv w:val="1"/>
      <w:marLeft w:val="0"/>
      <w:marRight w:val="0"/>
      <w:marTop w:val="0"/>
      <w:marBottom w:val="0"/>
      <w:divBdr>
        <w:top w:val="none" w:sz="0" w:space="0" w:color="auto"/>
        <w:left w:val="none" w:sz="0" w:space="0" w:color="auto"/>
        <w:bottom w:val="none" w:sz="0" w:space="0" w:color="auto"/>
        <w:right w:val="none" w:sz="0" w:space="0" w:color="auto"/>
      </w:divBdr>
    </w:div>
    <w:div w:id="978533136">
      <w:bodyDiv w:val="1"/>
      <w:marLeft w:val="0"/>
      <w:marRight w:val="0"/>
      <w:marTop w:val="0"/>
      <w:marBottom w:val="0"/>
      <w:divBdr>
        <w:top w:val="none" w:sz="0" w:space="0" w:color="auto"/>
        <w:left w:val="none" w:sz="0" w:space="0" w:color="auto"/>
        <w:bottom w:val="none" w:sz="0" w:space="0" w:color="auto"/>
        <w:right w:val="none" w:sz="0" w:space="0" w:color="auto"/>
      </w:divBdr>
    </w:div>
    <w:div w:id="1024091175">
      <w:bodyDiv w:val="1"/>
      <w:marLeft w:val="0"/>
      <w:marRight w:val="0"/>
      <w:marTop w:val="0"/>
      <w:marBottom w:val="0"/>
      <w:divBdr>
        <w:top w:val="none" w:sz="0" w:space="0" w:color="auto"/>
        <w:left w:val="none" w:sz="0" w:space="0" w:color="auto"/>
        <w:bottom w:val="none" w:sz="0" w:space="0" w:color="auto"/>
        <w:right w:val="none" w:sz="0" w:space="0" w:color="auto"/>
      </w:divBdr>
    </w:div>
    <w:div w:id="1068727040">
      <w:bodyDiv w:val="1"/>
      <w:marLeft w:val="0"/>
      <w:marRight w:val="0"/>
      <w:marTop w:val="0"/>
      <w:marBottom w:val="0"/>
      <w:divBdr>
        <w:top w:val="none" w:sz="0" w:space="0" w:color="auto"/>
        <w:left w:val="none" w:sz="0" w:space="0" w:color="auto"/>
        <w:bottom w:val="none" w:sz="0" w:space="0" w:color="auto"/>
        <w:right w:val="none" w:sz="0" w:space="0" w:color="auto"/>
      </w:divBdr>
    </w:div>
    <w:div w:id="1080637188">
      <w:bodyDiv w:val="1"/>
      <w:marLeft w:val="0"/>
      <w:marRight w:val="0"/>
      <w:marTop w:val="0"/>
      <w:marBottom w:val="0"/>
      <w:divBdr>
        <w:top w:val="none" w:sz="0" w:space="0" w:color="auto"/>
        <w:left w:val="none" w:sz="0" w:space="0" w:color="auto"/>
        <w:bottom w:val="none" w:sz="0" w:space="0" w:color="auto"/>
        <w:right w:val="none" w:sz="0" w:space="0" w:color="auto"/>
      </w:divBdr>
    </w:div>
    <w:div w:id="1082527351">
      <w:bodyDiv w:val="1"/>
      <w:marLeft w:val="0"/>
      <w:marRight w:val="0"/>
      <w:marTop w:val="0"/>
      <w:marBottom w:val="0"/>
      <w:divBdr>
        <w:top w:val="none" w:sz="0" w:space="0" w:color="auto"/>
        <w:left w:val="none" w:sz="0" w:space="0" w:color="auto"/>
        <w:bottom w:val="none" w:sz="0" w:space="0" w:color="auto"/>
        <w:right w:val="none" w:sz="0" w:space="0" w:color="auto"/>
      </w:divBdr>
    </w:div>
    <w:div w:id="1099521773">
      <w:bodyDiv w:val="1"/>
      <w:marLeft w:val="0"/>
      <w:marRight w:val="0"/>
      <w:marTop w:val="0"/>
      <w:marBottom w:val="0"/>
      <w:divBdr>
        <w:top w:val="none" w:sz="0" w:space="0" w:color="auto"/>
        <w:left w:val="none" w:sz="0" w:space="0" w:color="auto"/>
        <w:bottom w:val="none" w:sz="0" w:space="0" w:color="auto"/>
        <w:right w:val="none" w:sz="0" w:space="0" w:color="auto"/>
      </w:divBdr>
      <w:divsChild>
        <w:div w:id="106121814">
          <w:marLeft w:val="274"/>
          <w:marRight w:val="0"/>
          <w:marTop w:val="0"/>
          <w:marBottom w:val="0"/>
          <w:divBdr>
            <w:top w:val="none" w:sz="0" w:space="0" w:color="auto"/>
            <w:left w:val="none" w:sz="0" w:space="0" w:color="auto"/>
            <w:bottom w:val="none" w:sz="0" w:space="0" w:color="auto"/>
            <w:right w:val="none" w:sz="0" w:space="0" w:color="auto"/>
          </w:divBdr>
        </w:div>
        <w:div w:id="804783607">
          <w:marLeft w:val="274"/>
          <w:marRight w:val="0"/>
          <w:marTop w:val="0"/>
          <w:marBottom w:val="0"/>
          <w:divBdr>
            <w:top w:val="none" w:sz="0" w:space="0" w:color="auto"/>
            <w:left w:val="none" w:sz="0" w:space="0" w:color="auto"/>
            <w:bottom w:val="none" w:sz="0" w:space="0" w:color="auto"/>
            <w:right w:val="none" w:sz="0" w:space="0" w:color="auto"/>
          </w:divBdr>
        </w:div>
        <w:div w:id="1203130268">
          <w:marLeft w:val="274"/>
          <w:marRight w:val="0"/>
          <w:marTop w:val="0"/>
          <w:marBottom w:val="0"/>
          <w:divBdr>
            <w:top w:val="none" w:sz="0" w:space="0" w:color="auto"/>
            <w:left w:val="none" w:sz="0" w:space="0" w:color="auto"/>
            <w:bottom w:val="none" w:sz="0" w:space="0" w:color="auto"/>
            <w:right w:val="none" w:sz="0" w:space="0" w:color="auto"/>
          </w:divBdr>
        </w:div>
      </w:divsChild>
    </w:div>
    <w:div w:id="1180465327">
      <w:bodyDiv w:val="1"/>
      <w:marLeft w:val="0"/>
      <w:marRight w:val="0"/>
      <w:marTop w:val="0"/>
      <w:marBottom w:val="0"/>
      <w:divBdr>
        <w:top w:val="none" w:sz="0" w:space="0" w:color="auto"/>
        <w:left w:val="none" w:sz="0" w:space="0" w:color="auto"/>
        <w:bottom w:val="none" w:sz="0" w:space="0" w:color="auto"/>
        <w:right w:val="none" w:sz="0" w:space="0" w:color="auto"/>
      </w:divBdr>
    </w:div>
    <w:div w:id="1193958538">
      <w:bodyDiv w:val="1"/>
      <w:marLeft w:val="0"/>
      <w:marRight w:val="0"/>
      <w:marTop w:val="0"/>
      <w:marBottom w:val="0"/>
      <w:divBdr>
        <w:top w:val="none" w:sz="0" w:space="0" w:color="auto"/>
        <w:left w:val="none" w:sz="0" w:space="0" w:color="auto"/>
        <w:bottom w:val="none" w:sz="0" w:space="0" w:color="auto"/>
        <w:right w:val="none" w:sz="0" w:space="0" w:color="auto"/>
      </w:divBdr>
    </w:div>
    <w:div w:id="1205676060">
      <w:bodyDiv w:val="1"/>
      <w:marLeft w:val="0"/>
      <w:marRight w:val="0"/>
      <w:marTop w:val="0"/>
      <w:marBottom w:val="0"/>
      <w:divBdr>
        <w:top w:val="none" w:sz="0" w:space="0" w:color="auto"/>
        <w:left w:val="none" w:sz="0" w:space="0" w:color="auto"/>
        <w:bottom w:val="none" w:sz="0" w:space="0" w:color="auto"/>
        <w:right w:val="none" w:sz="0" w:space="0" w:color="auto"/>
      </w:divBdr>
    </w:div>
    <w:div w:id="1236430530">
      <w:bodyDiv w:val="1"/>
      <w:marLeft w:val="0"/>
      <w:marRight w:val="0"/>
      <w:marTop w:val="0"/>
      <w:marBottom w:val="0"/>
      <w:divBdr>
        <w:top w:val="none" w:sz="0" w:space="0" w:color="auto"/>
        <w:left w:val="none" w:sz="0" w:space="0" w:color="auto"/>
        <w:bottom w:val="none" w:sz="0" w:space="0" w:color="auto"/>
        <w:right w:val="none" w:sz="0" w:space="0" w:color="auto"/>
      </w:divBdr>
    </w:div>
    <w:div w:id="1275479036">
      <w:bodyDiv w:val="1"/>
      <w:marLeft w:val="0"/>
      <w:marRight w:val="0"/>
      <w:marTop w:val="0"/>
      <w:marBottom w:val="0"/>
      <w:divBdr>
        <w:top w:val="none" w:sz="0" w:space="0" w:color="auto"/>
        <w:left w:val="none" w:sz="0" w:space="0" w:color="auto"/>
        <w:bottom w:val="none" w:sz="0" w:space="0" w:color="auto"/>
        <w:right w:val="none" w:sz="0" w:space="0" w:color="auto"/>
      </w:divBdr>
    </w:div>
    <w:div w:id="1296638613">
      <w:bodyDiv w:val="1"/>
      <w:marLeft w:val="0"/>
      <w:marRight w:val="0"/>
      <w:marTop w:val="0"/>
      <w:marBottom w:val="0"/>
      <w:divBdr>
        <w:top w:val="none" w:sz="0" w:space="0" w:color="auto"/>
        <w:left w:val="none" w:sz="0" w:space="0" w:color="auto"/>
        <w:bottom w:val="none" w:sz="0" w:space="0" w:color="auto"/>
        <w:right w:val="none" w:sz="0" w:space="0" w:color="auto"/>
      </w:divBdr>
    </w:div>
    <w:div w:id="1402212207">
      <w:bodyDiv w:val="1"/>
      <w:marLeft w:val="0"/>
      <w:marRight w:val="0"/>
      <w:marTop w:val="0"/>
      <w:marBottom w:val="0"/>
      <w:divBdr>
        <w:top w:val="none" w:sz="0" w:space="0" w:color="auto"/>
        <w:left w:val="none" w:sz="0" w:space="0" w:color="auto"/>
        <w:bottom w:val="none" w:sz="0" w:space="0" w:color="auto"/>
        <w:right w:val="none" w:sz="0" w:space="0" w:color="auto"/>
      </w:divBdr>
    </w:div>
    <w:div w:id="1467352600">
      <w:bodyDiv w:val="1"/>
      <w:marLeft w:val="0"/>
      <w:marRight w:val="0"/>
      <w:marTop w:val="0"/>
      <w:marBottom w:val="0"/>
      <w:divBdr>
        <w:top w:val="none" w:sz="0" w:space="0" w:color="auto"/>
        <w:left w:val="none" w:sz="0" w:space="0" w:color="auto"/>
        <w:bottom w:val="none" w:sz="0" w:space="0" w:color="auto"/>
        <w:right w:val="none" w:sz="0" w:space="0" w:color="auto"/>
      </w:divBdr>
    </w:div>
    <w:div w:id="1478914517">
      <w:bodyDiv w:val="1"/>
      <w:marLeft w:val="0"/>
      <w:marRight w:val="0"/>
      <w:marTop w:val="0"/>
      <w:marBottom w:val="0"/>
      <w:divBdr>
        <w:top w:val="none" w:sz="0" w:space="0" w:color="auto"/>
        <w:left w:val="none" w:sz="0" w:space="0" w:color="auto"/>
        <w:bottom w:val="none" w:sz="0" w:space="0" w:color="auto"/>
        <w:right w:val="none" w:sz="0" w:space="0" w:color="auto"/>
      </w:divBdr>
    </w:div>
    <w:div w:id="1483932840">
      <w:bodyDiv w:val="1"/>
      <w:marLeft w:val="0"/>
      <w:marRight w:val="0"/>
      <w:marTop w:val="0"/>
      <w:marBottom w:val="0"/>
      <w:divBdr>
        <w:top w:val="none" w:sz="0" w:space="0" w:color="auto"/>
        <w:left w:val="none" w:sz="0" w:space="0" w:color="auto"/>
        <w:bottom w:val="none" w:sz="0" w:space="0" w:color="auto"/>
        <w:right w:val="none" w:sz="0" w:space="0" w:color="auto"/>
      </w:divBdr>
    </w:div>
    <w:div w:id="1507600532">
      <w:bodyDiv w:val="1"/>
      <w:marLeft w:val="0"/>
      <w:marRight w:val="0"/>
      <w:marTop w:val="0"/>
      <w:marBottom w:val="0"/>
      <w:divBdr>
        <w:top w:val="none" w:sz="0" w:space="0" w:color="auto"/>
        <w:left w:val="none" w:sz="0" w:space="0" w:color="auto"/>
        <w:bottom w:val="none" w:sz="0" w:space="0" w:color="auto"/>
        <w:right w:val="none" w:sz="0" w:space="0" w:color="auto"/>
      </w:divBdr>
      <w:divsChild>
        <w:div w:id="348339355">
          <w:marLeft w:val="274"/>
          <w:marRight w:val="0"/>
          <w:marTop w:val="0"/>
          <w:marBottom w:val="0"/>
          <w:divBdr>
            <w:top w:val="none" w:sz="0" w:space="0" w:color="auto"/>
            <w:left w:val="none" w:sz="0" w:space="0" w:color="auto"/>
            <w:bottom w:val="none" w:sz="0" w:space="0" w:color="auto"/>
            <w:right w:val="none" w:sz="0" w:space="0" w:color="auto"/>
          </w:divBdr>
        </w:div>
        <w:div w:id="1321738622">
          <w:marLeft w:val="274"/>
          <w:marRight w:val="0"/>
          <w:marTop w:val="0"/>
          <w:marBottom w:val="0"/>
          <w:divBdr>
            <w:top w:val="none" w:sz="0" w:space="0" w:color="auto"/>
            <w:left w:val="none" w:sz="0" w:space="0" w:color="auto"/>
            <w:bottom w:val="none" w:sz="0" w:space="0" w:color="auto"/>
            <w:right w:val="none" w:sz="0" w:space="0" w:color="auto"/>
          </w:divBdr>
        </w:div>
        <w:div w:id="157039002">
          <w:marLeft w:val="274"/>
          <w:marRight w:val="0"/>
          <w:marTop w:val="0"/>
          <w:marBottom w:val="0"/>
          <w:divBdr>
            <w:top w:val="none" w:sz="0" w:space="0" w:color="auto"/>
            <w:left w:val="none" w:sz="0" w:space="0" w:color="auto"/>
            <w:bottom w:val="none" w:sz="0" w:space="0" w:color="auto"/>
            <w:right w:val="none" w:sz="0" w:space="0" w:color="auto"/>
          </w:divBdr>
        </w:div>
      </w:divsChild>
    </w:div>
    <w:div w:id="1546018087">
      <w:bodyDiv w:val="1"/>
      <w:marLeft w:val="0"/>
      <w:marRight w:val="0"/>
      <w:marTop w:val="0"/>
      <w:marBottom w:val="0"/>
      <w:divBdr>
        <w:top w:val="none" w:sz="0" w:space="0" w:color="auto"/>
        <w:left w:val="none" w:sz="0" w:space="0" w:color="auto"/>
        <w:bottom w:val="none" w:sz="0" w:space="0" w:color="auto"/>
        <w:right w:val="none" w:sz="0" w:space="0" w:color="auto"/>
      </w:divBdr>
    </w:div>
    <w:div w:id="1571572235">
      <w:bodyDiv w:val="1"/>
      <w:marLeft w:val="0"/>
      <w:marRight w:val="0"/>
      <w:marTop w:val="0"/>
      <w:marBottom w:val="0"/>
      <w:divBdr>
        <w:top w:val="none" w:sz="0" w:space="0" w:color="auto"/>
        <w:left w:val="none" w:sz="0" w:space="0" w:color="auto"/>
        <w:bottom w:val="none" w:sz="0" w:space="0" w:color="auto"/>
        <w:right w:val="none" w:sz="0" w:space="0" w:color="auto"/>
      </w:divBdr>
    </w:div>
    <w:div w:id="1580753939">
      <w:bodyDiv w:val="1"/>
      <w:marLeft w:val="0"/>
      <w:marRight w:val="0"/>
      <w:marTop w:val="0"/>
      <w:marBottom w:val="0"/>
      <w:divBdr>
        <w:top w:val="none" w:sz="0" w:space="0" w:color="auto"/>
        <w:left w:val="none" w:sz="0" w:space="0" w:color="auto"/>
        <w:bottom w:val="none" w:sz="0" w:space="0" w:color="auto"/>
        <w:right w:val="none" w:sz="0" w:space="0" w:color="auto"/>
      </w:divBdr>
    </w:div>
    <w:div w:id="1631744371">
      <w:bodyDiv w:val="1"/>
      <w:marLeft w:val="0"/>
      <w:marRight w:val="0"/>
      <w:marTop w:val="0"/>
      <w:marBottom w:val="0"/>
      <w:divBdr>
        <w:top w:val="none" w:sz="0" w:space="0" w:color="auto"/>
        <w:left w:val="none" w:sz="0" w:space="0" w:color="auto"/>
        <w:bottom w:val="none" w:sz="0" w:space="0" w:color="auto"/>
        <w:right w:val="none" w:sz="0" w:space="0" w:color="auto"/>
      </w:divBdr>
    </w:div>
    <w:div w:id="1681617913">
      <w:bodyDiv w:val="1"/>
      <w:marLeft w:val="0"/>
      <w:marRight w:val="0"/>
      <w:marTop w:val="0"/>
      <w:marBottom w:val="0"/>
      <w:divBdr>
        <w:top w:val="none" w:sz="0" w:space="0" w:color="auto"/>
        <w:left w:val="none" w:sz="0" w:space="0" w:color="auto"/>
        <w:bottom w:val="none" w:sz="0" w:space="0" w:color="auto"/>
        <w:right w:val="none" w:sz="0" w:space="0" w:color="auto"/>
      </w:divBdr>
    </w:div>
    <w:div w:id="1694646364">
      <w:bodyDiv w:val="1"/>
      <w:marLeft w:val="0"/>
      <w:marRight w:val="0"/>
      <w:marTop w:val="0"/>
      <w:marBottom w:val="0"/>
      <w:divBdr>
        <w:top w:val="none" w:sz="0" w:space="0" w:color="auto"/>
        <w:left w:val="none" w:sz="0" w:space="0" w:color="auto"/>
        <w:bottom w:val="none" w:sz="0" w:space="0" w:color="auto"/>
        <w:right w:val="none" w:sz="0" w:space="0" w:color="auto"/>
      </w:divBdr>
    </w:div>
    <w:div w:id="1702436160">
      <w:bodyDiv w:val="1"/>
      <w:marLeft w:val="0"/>
      <w:marRight w:val="0"/>
      <w:marTop w:val="0"/>
      <w:marBottom w:val="0"/>
      <w:divBdr>
        <w:top w:val="none" w:sz="0" w:space="0" w:color="auto"/>
        <w:left w:val="none" w:sz="0" w:space="0" w:color="auto"/>
        <w:bottom w:val="none" w:sz="0" w:space="0" w:color="auto"/>
        <w:right w:val="none" w:sz="0" w:space="0" w:color="auto"/>
      </w:divBdr>
    </w:div>
    <w:div w:id="1704285793">
      <w:bodyDiv w:val="1"/>
      <w:marLeft w:val="0"/>
      <w:marRight w:val="0"/>
      <w:marTop w:val="0"/>
      <w:marBottom w:val="0"/>
      <w:divBdr>
        <w:top w:val="none" w:sz="0" w:space="0" w:color="auto"/>
        <w:left w:val="none" w:sz="0" w:space="0" w:color="auto"/>
        <w:bottom w:val="none" w:sz="0" w:space="0" w:color="auto"/>
        <w:right w:val="none" w:sz="0" w:space="0" w:color="auto"/>
      </w:divBdr>
    </w:div>
    <w:div w:id="1711958375">
      <w:bodyDiv w:val="1"/>
      <w:marLeft w:val="0"/>
      <w:marRight w:val="0"/>
      <w:marTop w:val="0"/>
      <w:marBottom w:val="0"/>
      <w:divBdr>
        <w:top w:val="none" w:sz="0" w:space="0" w:color="auto"/>
        <w:left w:val="none" w:sz="0" w:space="0" w:color="auto"/>
        <w:bottom w:val="none" w:sz="0" w:space="0" w:color="auto"/>
        <w:right w:val="none" w:sz="0" w:space="0" w:color="auto"/>
      </w:divBdr>
    </w:div>
    <w:div w:id="1742019187">
      <w:bodyDiv w:val="1"/>
      <w:marLeft w:val="0"/>
      <w:marRight w:val="0"/>
      <w:marTop w:val="0"/>
      <w:marBottom w:val="0"/>
      <w:divBdr>
        <w:top w:val="none" w:sz="0" w:space="0" w:color="auto"/>
        <w:left w:val="none" w:sz="0" w:space="0" w:color="auto"/>
        <w:bottom w:val="none" w:sz="0" w:space="0" w:color="auto"/>
        <w:right w:val="none" w:sz="0" w:space="0" w:color="auto"/>
      </w:divBdr>
    </w:div>
    <w:div w:id="1749497961">
      <w:bodyDiv w:val="1"/>
      <w:marLeft w:val="0"/>
      <w:marRight w:val="0"/>
      <w:marTop w:val="0"/>
      <w:marBottom w:val="0"/>
      <w:divBdr>
        <w:top w:val="none" w:sz="0" w:space="0" w:color="auto"/>
        <w:left w:val="none" w:sz="0" w:space="0" w:color="auto"/>
        <w:bottom w:val="none" w:sz="0" w:space="0" w:color="auto"/>
        <w:right w:val="none" w:sz="0" w:space="0" w:color="auto"/>
      </w:divBdr>
    </w:div>
    <w:div w:id="1802456279">
      <w:bodyDiv w:val="1"/>
      <w:marLeft w:val="0"/>
      <w:marRight w:val="0"/>
      <w:marTop w:val="0"/>
      <w:marBottom w:val="0"/>
      <w:divBdr>
        <w:top w:val="none" w:sz="0" w:space="0" w:color="auto"/>
        <w:left w:val="none" w:sz="0" w:space="0" w:color="auto"/>
        <w:bottom w:val="none" w:sz="0" w:space="0" w:color="auto"/>
        <w:right w:val="none" w:sz="0" w:space="0" w:color="auto"/>
      </w:divBdr>
    </w:div>
    <w:div w:id="1802915994">
      <w:bodyDiv w:val="1"/>
      <w:marLeft w:val="0"/>
      <w:marRight w:val="0"/>
      <w:marTop w:val="0"/>
      <w:marBottom w:val="0"/>
      <w:divBdr>
        <w:top w:val="none" w:sz="0" w:space="0" w:color="auto"/>
        <w:left w:val="none" w:sz="0" w:space="0" w:color="auto"/>
        <w:bottom w:val="none" w:sz="0" w:space="0" w:color="auto"/>
        <w:right w:val="none" w:sz="0" w:space="0" w:color="auto"/>
      </w:divBdr>
    </w:div>
    <w:div w:id="1808627047">
      <w:bodyDiv w:val="1"/>
      <w:marLeft w:val="0"/>
      <w:marRight w:val="0"/>
      <w:marTop w:val="0"/>
      <w:marBottom w:val="0"/>
      <w:divBdr>
        <w:top w:val="none" w:sz="0" w:space="0" w:color="auto"/>
        <w:left w:val="none" w:sz="0" w:space="0" w:color="auto"/>
        <w:bottom w:val="none" w:sz="0" w:space="0" w:color="auto"/>
        <w:right w:val="none" w:sz="0" w:space="0" w:color="auto"/>
      </w:divBdr>
    </w:div>
    <w:div w:id="1833373774">
      <w:bodyDiv w:val="1"/>
      <w:marLeft w:val="0"/>
      <w:marRight w:val="0"/>
      <w:marTop w:val="0"/>
      <w:marBottom w:val="0"/>
      <w:divBdr>
        <w:top w:val="none" w:sz="0" w:space="0" w:color="auto"/>
        <w:left w:val="none" w:sz="0" w:space="0" w:color="auto"/>
        <w:bottom w:val="none" w:sz="0" w:space="0" w:color="auto"/>
        <w:right w:val="none" w:sz="0" w:space="0" w:color="auto"/>
      </w:divBdr>
    </w:div>
    <w:div w:id="1840459454">
      <w:bodyDiv w:val="1"/>
      <w:marLeft w:val="0"/>
      <w:marRight w:val="0"/>
      <w:marTop w:val="0"/>
      <w:marBottom w:val="0"/>
      <w:divBdr>
        <w:top w:val="none" w:sz="0" w:space="0" w:color="auto"/>
        <w:left w:val="none" w:sz="0" w:space="0" w:color="auto"/>
        <w:bottom w:val="none" w:sz="0" w:space="0" w:color="auto"/>
        <w:right w:val="none" w:sz="0" w:space="0" w:color="auto"/>
      </w:divBdr>
    </w:div>
    <w:div w:id="1846631545">
      <w:bodyDiv w:val="1"/>
      <w:marLeft w:val="0"/>
      <w:marRight w:val="0"/>
      <w:marTop w:val="0"/>
      <w:marBottom w:val="0"/>
      <w:divBdr>
        <w:top w:val="none" w:sz="0" w:space="0" w:color="auto"/>
        <w:left w:val="none" w:sz="0" w:space="0" w:color="auto"/>
        <w:bottom w:val="none" w:sz="0" w:space="0" w:color="auto"/>
        <w:right w:val="none" w:sz="0" w:space="0" w:color="auto"/>
      </w:divBdr>
    </w:div>
    <w:div w:id="1865558434">
      <w:bodyDiv w:val="1"/>
      <w:marLeft w:val="0"/>
      <w:marRight w:val="0"/>
      <w:marTop w:val="0"/>
      <w:marBottom w:val="0"/>
      <w:divBdr>
        <w:top w:val="none" w:sz="0" w:space="0" w:color="auto"/>
        <w:left w:val="none" w:sz="0" w:space="0" w:color="auto"/>
        <w:bottom w:val="none" w:sz="0" w:space="0" w:color="auto"/>
        <w:right w:val="none" w:sz="0" w:space="0" w:color="auto"/>
      </w:divBdr>
    </w:div>
    <w:div w:id="1867716397">
      <w:bodyDiv w:val="1"/>
      <w:marLeft w:val="0"/>
      <w:marRight w:val="0"/>
      <w:marTop w:val="0"/>
      <w:marBottom w:val="0"/>
      <w:divBdr>
        <w:top w:val="none" w:sz="0" w:space="0" w:color="auto"/>
        <w:left w:val="none" w:sz="0" w:space="0" w:color="auto"/>
        <w:bottom w:val="none" w:sz="0" w:space="0" w:color="auto"/>
        <w:right w:val="none" w:sz="0" w:space="0" w:color="auto"/>
      </w:divBdr>
    </w:div>
    <w:div w:id="1869637603">
      <w:bodyDiv w:val="1"/>
      <w:marLeft w:val="0"/>
      <w:marRight w:val="0"/>
      <w:marTop w:val="0"/>
      <w:marBottom w:val="0"/>
      <w:divBdr>
        <w:top w:val="none" w:sz="0" w:space="0" w:color="auto"/>
        <w:left w:val="none" w:sz="0" w:space="0" w:color="auto"/>
        <w:bottom w:val="none" w:sz="0" w:space="0" w:color="auto"/>
        <w:right w:val="none" w:sz="0" w:space="0" w:color="auto"/>
      </w:divBdr>
    </w:div>
    <w:div w:id="1888640907">
      <w:bodyDiv w:val="1"/>
      <w:marLeft w:val="0"/>
      <w:marRight w:val="0"/>
      <w:marTop w:val="0"/>
      <w:marBottom w:val="0"/>
      <w:divBdr>
        <w:top w:val="none" w:sz="0" w:space="0" w:color="auto"/>
        <w:left w:val="none" w:sz="0" w:space="0" w:color="auto"/>
        <w:bottom w:val="none" w:sz="0" w:space="0" w:color="auto"/>
        <w:right w:val="none" w:sz="0" w:space="0" w:color="auto"/>
      </w:divBdr>
    </w:div>
    <w:div w:id="1895462388">
      <w:bodyDiv w:val="1"/>
      <w:marLeft w:val="0"/>
      <w:marRight w:val="0"/>
      <w:marTop w:val="0"/>
      <w:marBottom w:val="0"/>
      <w:divBdr>
        <w:top w:val="none" w:sz="0" w:space="0" w:color="auto"/>
        <w:left w:val="none" w:sz="0" w:space="0" w:color="auto"/>
        <w:bottom w:val="none" w:sz="0" w:space="0" w:color="auto"/>
        <w:right w:val="none" w:sz="0" w:space="0" w:color="auto"/>
      </w:divBdr>
    </w:div>
    <w:div w:id="1954242479">
      <w:bodyDiv w:val="1"/>
      <w:marLeft w:val="0"/>
      <w:marRight w:val="0"/>
      <w:marTop w:val="0"/>
      <w:marBottom w:val="0"/>
      <w:divBdr>
        <w:top w:val="none" w:sz="0" w:space="0" w:color="auto"/>
        <w:left w:val="none" w:sz="0" w:space="0" w:color="auto"/>
        <w:bottom w:val="none" w:sz="0" w:space="0" w:color="auto"/>
        <w:right w:val="none" w:sz="0" w:space="0" w:color="auto"/>
      </w:divBdr>
    </w:div>
    <w:div w:id="1970354880">
      <w:bodyDiv w:val="1"/>
      <w:marLeft w:val="0"/>
      <w:marRight w:val="0"/>
      <w:marTop w:val="0"/>
      <w:marBottom w:val="0"/>
      <w:divBdr>
        <w:top w:val="none" w:sz="0" w:space="0" w:color="auto"/>
        <w:left w:val="none" w:sz="0" w:space="0" w:color="auto"/>
        <w:bottom w:val="none" w:sz="0" w:space="0" w:color="auto"/>
        <w:right w:val="none" w:sz="0" w:space="0" w:color="auto"/>
      </w:divBdr>
    </w:div>
    <w:div w:id="1982071639">
      <w:bodyDiv w:val="1"/>
      <w:marLeft w:val="0"/>
      <w:marRight w:val="0"/>
      <w:marTop w:val="0"/>
      <w:marBottom w:val="0"/>
      <w:divBdr>
        <w:top w:val="none" w:sz="0" w:space="0" w:color="auto"/>
        <w:left w:val="none" w:sz="0" w:space="0" w:color="auto"/>
        <w:bottom w:val="none" w:sz="0" w:space="0" w:color="auto"/>
        <w:right w:val="none" w:sz="0" w:space="0" w:color="auto"/>
      </w:divBdr>
    </w:div>
    <w:div w:id="1988194797">
      <w:bodyDiv w:val="1"/>
      <w:marLeft w:val="0"/>
      <w:marRight w:val="0"/>
      <w:marTop w:val="0"/>
      <w:marBottom w:val="0"/>
      <w:divBdr>
        <w:top w:val="none" w:sz="0" w:space="0" w:color="auto"/>
        <w:left w:val="none" w:sz="0" w:space="0" w:color="auto"/>
        <w:bottom w:val="none" w:sz="0" w:space="0" w:color="auto"/>
        <w:right w:val="none" w:sz="0" w:space="0" w:color="auto"/>
      </w:divBdr>
    </w:div>
    <w:div w:id="1994796157">
      <w:bodyDiv w:val="1"/>
      <w:marLeft w:val="0"/>
      <w:marRight w:val="0"/>
      <w:marTop w:val="0"/>
      <w:marBottom w:val="0"/>
      <w:divBdr>
        <w:top w:val="none" w:sz="0" w:space="0" w:color="auto"/>
        <w:left w:val="none" w:sz="0" w:space="0" w:color="auto"/>
        <w:bottom w:val="none" w:sz="0" w:space="0" w:color="auto"/>
        <w:right w:val="none" w:sz="0" w:space="0" w:color="auto"/>
      </w:divBdr>
    </w:div>
    <w:div w:id="1998458681">
      <w:bodyDiv w:val="1"/>
      <w:marLeft w:val="0"/>
      <w:marRight w:val="0"/>
      <w:marTop w:val="0"/>
      <w:marBottom w:val="0"/>
      <w:divBdr>
        <w:top w:val="none" w:sz="0" w:space="0" w:color="auto"/>
        <w:left w:val="none" w:sz="0" w:space="0" w:color="auto"/>
        <w:bottom w:val="none" w:sz="0" w:space="0" w:color="auto"/>
        <w:right w:val="none" w:sz="0" w:space="0" w:color="auto"/>
      </w:divBdr>
    </w:div>
    <w:div w:id="2040203295">
      <w:bodyDiv w:val="1"/>
      <w:marLeft w:val="0"/>
      <w:marRight w:val="0"/>
      <w:marTop w:val="0"/>
      <w:marBottom w:val="0"/>
      <w:divBdr>
        <w:top w:val="none" w:sz="0" w:space="0" w:color="auto"/>
        <w:left w:val="none" w:sz="0" w:space="0" w:color="auto"/>
        <w:bottom w:val="none" w:sz="0" w:space="0" w:color="auto"/>
        <w:right w:val="none" w:sz="0" w:space="0" w:color="auto"/>
      </w:divBdr>
    </w:div>
    <w:div w:id="210359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567BB-25EC-4AD2-9A8D-1956AB72A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1634</Words>
  <Characters>10202</Characters>
  <Application>Microsoft Office Word</Application>
  <DocSecurity>4</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Berkelland</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Wisselink, Esther</dc:creator>
  <cp:lastModifiedBy>Brummelstroete, Geert te</cp:lastModifiedBy>
  <cp:revision>2</cp:revision>
  <cp:lastPrinted>2019-04-11T06:30:00Z</cp:lastPrinted>
  <dcterms:created xsi:type="dcterms:W3CDTF">2024-05-15T06:36:00Z</dcterms:created>
  <dcterms:modified xsi:type="dcterms:W3CDTF">2024-05-15T06:36:00Z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00c04c-d027-49f1-bd90-3c557fc5f5b7_Enabled">
    <vt:lpwstr>true</vt:lpwstr>
  </property>
  <property fmtid="{D5CDD505-2E9C-101B-9397-08002B2CF9AE}" pid="3" name="MSIP_Label_9200c04c-d027-49f1-bd90-3c557fc5f5b7_SetDate">
    <vt:lpwstr>2024-01-18T12:18:42Z</vt:lpwstr>
  </property>
  <property fmtid="{D5CDD505-2E9C-101B-9397-08002B2CF9AE}" pid="4" name="MSIP_Label_9200c04c-d027-49f1-bd90-3c557fc5f5b7_Method">
    <vt:lpwstr>Standard</vt:lpwstr>
  </property>
  <property fmtid="{D5CDD505-2E9C-101B-9397-08002B2CF9AE}" pid="5" name="MSIP_Label_9200c04c-d027-49f1-bd90-3c557fc5f5b7_Name">
    <vt:lpwstr>defa4170-0d19-0005-0001-bc88714345d2</vt:lpwstr>
  </property>
  <property fmtid="{D5CDD505-2E9C-101B-9397-08002B2CF9AE}" pid="6" name="MSIP_Label_9200c04c-d027-49f1-bd90-3c557fc5f5b7_SiteId">
    <vt:lpwstr>8d5745e1-89d2-4419-8818-eed15ab2e79f</vt:lpwstr>
  </property>
  <property fmtid="{D5CDD505-2E9C-101B-9397-08002B2CF9AE}" pid="7" name="MSIP_Label_9200c04c-d027-49f1-bd90-3c557fc5f5b7_ActionId">
    <vt:lpwstr>8dd34050-193a-4a3a-9ce0-56c8f257f23d</vt:lpwstr>
  </property>
  <property fmtid="{D5CDD505-2E9C-101B-9397-08002B2CF9AE}" pid="8" name="MSIP_Label_9200c04c-d027-49f1-bd90-3c557fc5f5b7_ContentBits">
    <vt:lpwstr>0</vt:lpwstr>
  </property>
</Properties>
</file>